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AA" w:rsidRPr="006109AA" w:rsidRDefault="006109AA" w:rsidP="006109AA">
      <w:pPr>
        <w:jc w:val="center"/>
        <w:rPr>
          <w:b/>
          <w:lang w:val="en-IE"/>
        </w:rPr>
      </w:pPr>
      <w:r w:rsidRPr="006109AA">
        <w:rPr>
          <w:b/>
          <w:lang w:val="en-IE"/>
        </w:rPr>
        <w:t>Resilience: A Learning Project for a Learning City</w:t>
      </w:r>
      <w:r>
        <w:rPr>
          <w:rStyle w:val="FootnoteReference"/>
          <w:b/>
          <w:lang w:val="en-IE"/>
        </w:rPr>
        <w:footnoteReference w:id="1"/>
      </w:r>
    </w:p>
    <w:p w:rsidR="006109AA" w:rsidRDefault="006109AA" w:rsidP="006109AA">
      <w:pPr>
        <w:spacing w:line="240" w:lineRule="auto"/>
        <w:contextualSpacing/>
        <w:jc w:val="center"/>
        <w:rPr>
          <w:lang w:val="en-IE"/>
        </w:rPr>
      </w:pPr>
      <w:r w:rsidRPr="006109AA">
        <w:rPr>
          <w:lang w:val="en-IE"/>
        </w:rPr>
        <w:t>Dr. Ted Fleming</w:t>
      </w:r>
    </w:p>
    <w:p w:rsidR="006109AA" w:rsidRPr="006109AA" w:rsidRDefault="006109AA" w:rsidP="006109AA">
      <w:pPr>
        <w:spacing w:line="240" w:lineRule="auto"/>
        <w:contextualSpacing/>
        <w:jc w:val="center"/>
        <w:rPr>
          <w:lang w:val="en-US"/>
        </w:rPr>
      </w:pPr>
      <w:r w:rsidRPr="006109AA">
        <w:rPr>
          <w:lang w:val="en-IE"/>
        </w:rPr>
        <w:t>Teachers College Columbia University, New York</w:t>
      </w:r>
    </w:p>
    <w:p w:rsidR="006109AA" w:rsidRPr="006109AA" w:rsidRDefault="004230B2" w:rsidP="006109AA">
      <w:pPr>
        <w:spacing w:line="240" w:lineRule="auto"/>
        <w:contextualSpacing/>
        <w:jc w:val="center"/>
        <w:rPr>
          <w:lang w:val="en-US"/>
        </w:rPr>
      </w:pPr>
      <w:hyperlink r:id="rId9" w:history="1">
        <w:r w:rsidR="006109AA" w:rsidRPr="006109AA">
          <w:rPr>
            <w:rStyle w:val="Hyperlink"/>
            <w:lang w:val="en-IE"/>
          </w:rPr>
          <w:t>Email:    ejf2129@tc.columbia.edu</w:t>
        </w:r>
      </w:hyperlink>
    </w:p>
    <w:p w:rsidR="006109AA" w:rsidRDefault="006109AA">
      <w:pPr>
        <w:rPr>
          <w:lang w:val="en-IE"/>
        </w:rPr>
      </w:pPr>
    </w:p>
    <w:p w:rsidR="00A5282E" w:rsidRPr="00A5282E" w:rsidRDefault="00A5282E">
      <w:pPr>
        <w:rPr>
          <w:b/>
          <w:lang w:val="en-IE"/>
        </w:rPr>
      </w:pPr>
      <w:r w:rsidRPr="00A5282E">
        <w:rPr>
          <w:b/>
          <w:lang w:val="en-IE"/>
        </w:rPr>
        <w:t>Introduction</w:t>
      </w:r>
    </w:p>
    <w:p w:rsidR="00E156BB" w:rsidRDefault="00E156BB" w:rsidP="00C608A1">
      <w:pPr>
        <w:rPr>
          <w:rFonts w:cstheme="minorHAnsi"/>
          <w:lang w:val="en-IE"/>
        </w:rPr>
      </w:pPr>
      <w:r w:rsidRPr="00C608A1">
        <w:rPr>
          <w:rFonts w:cstheme="minorHAnsi"/>
          <w:lang w:val="en-IE"/>
        </w:rPr>
        <w:t>Before he was sent to the Nazi concentration camp at Auschwitz</w:t>
      </w:r>
      <w:r w:rsidR="00D2710C">
        <w:rPr>
          <w:rFonts w:cstheme="minorHAnsi"/>
          <w:lang w:val="en-IE"/>
        </w:rPr>
        <w:t>,</w:t>
      </w:r>
      <w:r w:rsidRPr="00C608A1">
        <w:rPr>
          <w:rFonts w:cstheme="minorHAnsi"/>
          <w:lang w:val="en-IE"/>
        </w:rPr>
        <w:t xml:space="preserve"> Primo Levi</w:t>
      </w:r>
      <w:r w:rsidR="00C608A1" w:rsidRPr="00C608A1">
        <w:rPr>
          <w:rFonts w:cstheme="minorHAnsi"/>
          <w:lang w:val="en-IE"/>
        </w:rPr>
        <w:t xml:space="preserve"> (19</w:t>
      </w:r>
      <w:r w:rsidR="00D501EC">
        <w:rPr>
          <w:rFonts w:cstheme="minorHAnsi"/>
          <w:lang w:val="en-IE"/>
        </w:rPr>
        <w:t>59</w:t>
      </w:r>
      <w:r w:rsidR="00C608A1" w:rsidRPr="00C608A1">
        <w:rPr>
          <w:rFonts w:cstheme="minorHAnsi"/>
          <w:lang w:val="en-IE"/>
        </w:rPr>
        <w:t>) had not felt that being Jewish was central to his identity and until then he had coped with life, survived low self-esteem and depression.</w:t>
      </w:r>
      <w:r w:rsidRPr="00C608A1">
        <w:rPr>
          <w:rFonts w:cstheme="minorHAnsi"/>
          <w:lang w:val="en-IE"/>
        </w:rPr>
        <w:t xml:space="preserve"> </w:t>
      </w:r>
      <w:r w:rsidR="00C608A1" w:rsidRPr="00C608A1">
        <w:rPr>
          <w:rFonts w:cstheme="minorHAnsi"/>
          <w:lang w:val="en-IE"/>
        </w:rPr>
        <w:t xml:space="preserve">His activities in the resistance demoralized and disoriented him. When he </w:t>
      </w:r>
      <w:r w:rsidR="00FE5FD6">
        <w:rPr>
          <w:rFonts w:cstheme="minorHAnsi"/>
          <w:lang w:val="en-IE"/>
        </w:rPr>
        <w:t xml:space="preserve">was sent </w:t>
      </w:r>
      <w:r w:rsidR="00C608A1" w:rsidRPr="00C608A1">
        <w:rPr>
          <w:rFonts w:cstheme="minorHAnsi"/>
          <w:lang w:val="en-IE"/>
        </w:rPr>
        <w:t xml:space="preserve">Germany as a prisoner he said: </w:t>
      </w:r>
      <w:r w:rsidR="00C608A1">
        <w:rPr>
          <w:rFonts w:cstheme="minorHAnsi"/>
          <w:lang w:val="en-IE"/>
        </w:rPr>
        <w:t>‘</w:t>
      </w:r>
      <w:proofErr w:type="gramStart"/>
      <w:r w:rsidR="00C608A1">
        <w:rPr>
          <w:rFonts w:cstheme="minorHAnsi"/>
          <w:lang w:val="en-IE"/>
        </w:rPr>
        <w:t>A</w:t>
      </w:r>
      <w:r w:rsidR="00C608A1" w:rsidRPr="00C608A1">
        <w:rPr>
          <w:rFonts w:cstheme="minorHAnsi"/>
          <w:lang w:val="en-US"/>
        </w:rPr>
        <w:t>nd</w:t>
      </w:r>
      <w:proofErr w:type="gramEnd"/>
      <w:r w:rsidR="00C608A1" w:rsidRPr="00C608A1">
        <w:rPr>
          <w:rFonts w:cstheme="minorHAnsi"/>
          <w:lang w:val="en-US"/>
        </w:rPr>
        <w:t xml:space="preserve"> night came, and it was such a night that one</w:t>
      </w:r>
      <w:r w:rsidR="00C608A1">
        <w:rPr>
          <w:rFonts w:cstheme="minorHAnsi"/>
          <w:lang w:val="en-US"/>
        </w:rPr>
        <w:t xml:space="preserve"> </w:t>
      </w:r>
      <w:r w:rsidR="00C608A1" w:rsidRPr="00C608A1">
        <w:rPr>
          <w:rFonts w:cstheme="minorHAnsi"/>
          <w:lang w:val="en-US"/>
        </w:rPr>
        <w:t>knew that human eyes would not witness it and survive</w:t>
      </w:r>
      <w:r w:rsidR="00C608A1">
        <w:rPr>
          <w:rFonts w:cstheme="minorHAnsi"/>
          <w:lang w:val="en-US"/>
        </w:rPr>
        <w:t>’ (</w:t>
      </w:r>
      <w:r w:rsidR="00D501EC">
        <w:rPr>
          <w:rFonts w:cstheme="minorHAnsi"/>
          <w:lang w:val="en-US"/>
        </w:rPr>
        <w:t xml:space="preserve">1959, </w:t>
      </w:r>
      <w:r w:rsidR="00C608A1">
        <w:rPr>
          <w:rFonts w:cstheme="minorHAnsi"/>
          <w:lang w:val="en-US"/>
        </w:rPr>
        <w:t>p. 6)</w:t>
      </w:r>
      <w:r w:rsidR="00C608A1" w:rsidRPr="00C608A1">
        <w:rPr>
          <w:rFonts w:cstheme="minorHAnsi"/>
          <w:lang w:val="en-US"/>
        </w:rPr>
        <w:t>.</w:t>
      </w:r>
      <w:r w:rsidR="00C608A1" w:rsidRPr="00C608A1">
        <w:rPr>
          <w:rFonts w:cstheme="minorHAnsi"/>
          <w:lang w:val="en-IE"/>
        </w:rPr>
        <w:t xml:space="preserve"> </w:t>
      </w:r>
    </w:p>
    <w:p w:rsidR="00C608A1" w:rsidRDefault="00C608A1" w:rsidP="00C608A1">
      <w:pPr>
        <w:rPr>
          <w:rFonts w:cstheme="minorHAnsi"/>
          <w:lang w:val="en-IE"/>
        </w:rPr>
      </w:pPr>
      <w:r>
        <w:rPr>
          <w:rFonts w:cstheme="minorHAnsi"/>
          <w:lang w:val="en-IE"/>
        </w:rPr>
        <w:t xml:space="preserve">It is difficult to imagine Levi surviving to become one of the most articulate and insightful voices and witnesses to Auschwitz – to tell the tale without being overwhelmed by it. </w:t>
      </w:r>
      <w:r w:rsidR="00D501EC">
        <w:rPr>
          <w:rFonts w:cstheme="minorHAnsi"/>
          <w:lang w:val="en-IE"/>
        </w:rPr>
        <w:t>Levi (1959, p. 103) spoke of the prisoners as;</w:t>
      </w:r>
    </w:p>
    <w:p w:rsidR="00C608A1" w:rsidRDefault="00C608A1" w:rsidP="00D501EC">
      <w:pPr>
        <w:ind w:left="720"/>
        <w:rPr>
          <w:lang w:val="en-US"/>
        </w:rPr>
      </w:pPr>
      <w:r w:rsidRPr="00C608A1">
        <w:rPr>
          <w:lang w:val="en-US"/>
        </w:rPr>
        <w:t>an anonymous mass,</w:t>
      </w:r>
      <w:r>
        <w:rPr>
          <w:lang w:val="en-US"/>
        </w:rPr>
        <w:t xml:space="preserve"> </w:t>
      </w:r>
      <w:r w:rsidRPr="00C608A1">
        <w:rPr>
          <w:lang w:val="en-US"/>
        </w:rPr>
        <w:t>continually renewed and always identical, of non-men</w:t>
      </w:r>
      <w:r>
        <w:rPr>
          <w:lang w:val="en-US"/>
        </w:rPr>
        <w:t xml:space="preserve"> </w:t>
      </w:r>
      <w:r w:rsidRPr="00C608A1">
        <w:rPr>
          <w:lang w:val="en-US"/>
        </w:rPr>
        <w:t>who march and labour in silence, the divine spark dead</w:t>
      </w:r>
      <w:r>
        <w:rPr>
          <w:lang w:val="en-US"/>
        </w:rPr>
        <w:t xml:space="preserve"> </w:t>
      </w:r>
      <w:r w:rsidRPr="00C608A1">
        <w:rPr>
          <w:lang w:val="en-US"/>
        </w:rPr>
        <w:t>within them, already too empty to really suffer. One</w:t>
      </w:r>
      <w:r>
        <w:rPr>
          <w:lang w:val="en-US"/>
        </w:rPr>
        <w:t xml:space="preserve"> </w:t>
      </w:r>
      <w:r w:rsidRPr="00C608A1">
        <w:rPr>
          <w:lang w:val="en-US"/>
        </w:rPr>
        <w:t>hesitates to call them living: one hesitates to call their</w:t>
      </w:r>
      <w:r>
        <w:rPr>
          <w:lang w:val="en-US"/>
        </w:rPr>
        <w:t xml:space="preserve"> </w:t>
      </w:r>
      <w:r w:rsidRPr="00C608A1">
        <w:rPr>
          <w:lang w:val="en-US"/>
        </w:rPr>
        <w:t>death death, in the face of which they have no fear,</w:t>
      </w:r>
      <w:r>
        <w:rPr>
          <w:lang w:val="en-US"/>
        </w:rPr>
        <w:t xml:space="preserve"> </w:t>
      </w:r>
      <w:r w:rsidRPr="00C608A1">
        <w:rPr>
          <w:lang w:val="en-US"/>
        </w:rPr>
        <w:t>as they are too tired to understand.</w:t>
      </w:r>
    </w:p>
    <w:p w:rsidR="00D501EC" w:rsidRDefault="00D501EC" w:rsidP="00D501EC">
      <w:pPr>
        <w:rPr>
          <w:lang w:val="en-US"/>
        </w:rPr>
      </w:pPr>
      <w:r>
        <w:rPr>
          <w:lang w:val="en-US"/>
        </w:rPr>
        <w:t xml:space="preserve">The </w:t>
      </w:r>
      <w:r w:rsidR="007A2483">
        <w:rPr>
          <w:lang w:val="en-US"/>
        </w:rPr>
        <w:t>degradation</w:t>
      </w:r>
      <w:r>
        <w:rPr>
          <w:lang w:val="en-US"/>
        </w:rPr>
        <w:t xml:space="preserve"> of the prisoners was matched by that of the guards </w:t>
      </w:r>
      <w:r w:rsidR="00A5282E">
        <w:rPr>
          <w:lang w:val="en-US"/>
        </w:rPr>
        <w:t xml:space="preserve">who shared </w:t>
      </w:r>
      <w:r>
        <w:rPr>
          <w:lang w:val="en-US"/>
        </w:rPr>
        <w:t>a common or ‘uniform inner desolation’ (1959, p. 142) and again</w:t>
      </w:r>
      <w:r w:rsidR="00FE5FD6">
        <w:rPr>
          <w:lang w:val="en-US"/>
        </w:rPr>
        <w:t xml:space="preserve">, from inside Auschwitz </w:t>
      </w:r>
      <w:r>
        <w:rPr>
          <w:lang w:val="en-US"/>
        </w:rPr>
        <w:t>(</w:t>
      </w:r>
      <w:r w:rsidR="00C81CBD">
        <w:rPr>
          <w:lang w:val="en-US"/>
        </w:rPr>
        <w:t xml:space="preserve">Levi, </w:t>
      </w:r>
      <w:r>
        <w:rPr>
          <w:lang w:val="en-US"/>
        </w:rPr>
        <w:t>1959, p. 98):</w:t>
      </w:r>
    </w:p>
    <w:p w:rsidR="00D501EC" w:rsidRDefault="00D501EC" w:rsidP="00D501EC">
      <w:pPr>
        <w:ind w:left="720"/>
        <w:rPr>
          <w:lang w:val="en-US"/>
        </w:rPr>
      </w:pPr>
      <w:r w:rsidRPr="00D501EC">
        <w:rPr>
          <w:lang w:val="en-US"/>
        </w:rPr>
        <w:lastRenderedPageBreak/>
        <w:t>let everybody judge, on the basis of the picture</w:t>
      </w:r>
      <w:r>
        <w:rPr>
          <w:lang w:val="en-US"/>
        </w:rPr>
        <w:t xml:space="preserve"> </w:t>
      </w:r>
      <w:r w:rsidRPr="00D501EC">
        <w:rPr>
          <w:lang w:val="en-US"/>
        </w:rPr>
        <w:t>we have outlined and of the examples given above,</w:t>
      </w:r>
      <w:r>
        <w:rPr>
          <w:lang w:val="en-US"/>
        </w:rPr>
        <w:t xml:space="preserve"> </w:t>
      </w:r>
      <w:r w:rsidRPr="00D501EC">
        <w:rPr>
          <w:lang w:val="en-US"/>
        </w:rPr>
        <w:t>how much of our ordinary moral world could survive</w:t>
      </w:r>
      <w:r>
        <w:rPr>
          <w:lang w:val="en-US"/>
        </w:rPr>
        <w:t xml:space="preserve"> </w:t>
      </w:r>
      <w:r w:rsidRPr="00D501EC">
        <w:rPr>
          <w:lang w:val="en-US"/>
        </w:rPr>
        <w:t>on this side of the barbed wire.</w:t>
      </w:r>
    </w:p>
    <w:p w:rsidR="00D501EC" w:rsidRDefault="00D501EC" w:rsidP="00D501EC">
      <w:pPr>
        <w:rPr>
          <w:lang w:val="en-US"/>
        </w:rPr>
      </w:pPr>
      <w:r>
        <w:rPr>
          <w:lang w:val="en-US"/>
        </w:rPr>
        <w:t>Auschwitz was his ‘university’</w:t>
      </w:r>
      <w:r w:rsidR="00A5282E">
        <w:rPr>
          <w:lang w:val="en-US"/>
        </w:rPr>
        <w:t>,</w:t>
      </w:r>
      <w:r>
        <w:rPr>
          <w:lang w:val="en-US"/>
        </w:rPr>
        <w:t xml:space="preserve"> his ‘adventure’ and his ‘rite of passage’.  The personal autobiography and eye-witness accounts, his fiction are words in praise and evidence of resilience. </w:t>
      </w:r>
    </w:p>
    <w:p w:rsidR="00A5282E" w:rsidRPr="00A5282E" w:rsidRDefault="00A5282E" w:rsidP="00D501EC">
      <w:pPr>
        <w:rPr>
          <w:rFonts w:cstheme="minorHAnsi"/>
          <w:b/>
          <w:lang w:val="en-IE"/>
        </w:rPr>
      </w:pPr>
      <w:r w:rsidRPr="00A5282E">
        <w:rPr>
          <w:b/>
          <w:lang w:val="en-US"/>
        </w:rPr>
        <w:t>Resilience</w:t>
      </w:r>
    </w:p>
    <w:p w:rsidR="00B059E2" w:rsidRDefault="00B059E2" w:rsidP="00885E3C">
      <w:pPr>
        <w:rPr>
          <w:lang w:val="en-IE"/>
        </w:rPr>
      </w:pPr>
      <w:r>
        <w:rPr>
          <w:lang w:val="en-IE"/>
        </w:rPr>
        <w:t xml:space="preserve">Resilience has </w:t>
      </w:r>
      <w:r w:rsidR="00FE5FD6">
        <w:rPr>
          <w:lang w:val="en-IE"/>
        </w:rPr>
        <w:t xml:space="preserve">a number of </w:t>
      </w:r>
      <w:r>
        <w:rPr>
          <w:lang w:val="en-IE"/>
        </w:rPr>
        <w:t>many meanings and versions</w:t>
      </w:r>
      <w:r w:rsidR="00FE5FD6">
        <w:rPr>
          <w:lang w:val="en-IE"/>
        </w:rPr>
        <w:t>. I</w:t>
      </w:r>
      <w:r>
        <w:rPr>
          <w:lang w:val="en-IE"/>
        </w:rPr>
        <w:t xml:space="preserve">t is basically the ability to survive, thrive or maintain </w:t>
      </w:r>
      <w:proofErr w:type="gramStart"/>
      <w:r>
        <w:rPr>
          <w:lang w:val="en-IE"/>
        </w:rPr>
        <w:t>an equilibrium</w:t>
      </w:r>
      <w:proofErr w:type="gramEnd"/>
      <w:r>
        <w:rPr>
          <w:lang w:val="en-IE"/>
        </w:rPr>
        <w:t xml:space="preserve"> in the face of adversity</w:t>
      </w:r>
      <w:r w:rsidR="00A5282E">
        <w:rPr>
          <w:lang w:val="en-IE"/>
        </w:rPr>
        <w:t>,</w:t>
      </w:r>
      <w:r>
        <w:rPr>
          <w:lang w:val="en-IE"/>
        </w:rPr>
        <w:t xml:space="preserve"> or misfortune or crises</w:t>
      </w:r>
      <w:r w:rsidR="00574846">
        <w:rPr>
          <w:lang w:val="en-IE"/>
        </w:rPr>
        <w:t xml:space="preserve"> (</w:t>
      </w:r>
      <w:r w:rsidR="00574846" w:rsidRPr="006109AA">
        <w:rPr>
          <w:rStyle w:val="markedcontent"/>
          <w:rFonts w:cstheme="minorHAnsi"/>
        </w:rPr>
        <w:t>Fleming, &amp; Ledogar</w:t>
      </w:r>
      <w:r w:rsidR="00574846">
        <w:rPr>
          <w:rStyle w:val="markedcontent"/>
          <w:rFonts w:cstheme="minorHAnsi"/>
        </w:rPr>
        <w:t xml:space="preserve">, </w:t>
      </w:r>
      <w:r w:rsidR="00574846" w:rsidRPr="006109AA">
        <w:rPr>
          <w:rStyle w:val="markedcontent"/>
          <w:rFonts w:cstheme="minorHAnsi"/>
        </w:rPr>
        <w:t>2008)</w:t>
      </w:r>
      <w:r>
        <w:rPr>
          <w:lang w:val="en-IE"/>
        </w:rPr>
        <w:t>. There are critical comments that could be made about defining equilibrium (or survival or thriving) and about who defines equilibrium (whose equilibrium?</w:t>
      </w:r>
      <w:r w:rsidR="00A5282E">
        <w:rPr>
          <w:lang w:val="en-IE"/>
        </w:rPr>
        <w:t>)</w:t>
      </w:r>
      <w:r w:rsidR="00FE5FD6">
        <w:rPr>
          <w:lang w:val="en-IE"/>
        </w:rPr>
        <w:t>.</w:t>
      </w:r>
      <w:r w:rsidR="00A5282E">
        <w:rPr>
          <w:lang w:val="en-IE"/>
        </w:rPr>
        <w:t xml:space="preserve"> Or whose narrative dominates (Fleming, 2020</w:t>
      </w:r>
      <w:r>
        <w:rPr>
          <w:lang w:val="en-IE"/>
        </w:rPr>
        <w:t>)</w:t>
      </w:r>
      <w:r w:rsidR="00A5282E">
        <w:rPr>
          <w:lang w:val="en-IE"/>
        </w:rPr>
        <w:t>?</w:t>
      </w:r>
      <w:r>
        <w:rPr>
          <w:lang w:val="en-IE"/>
        </w:rPr>
        <w:t xml:space="preserve"> Yet, some are resilient it appears</w:t>
      </w:r>
      <w:r w:rsidR="00FE5FD6">
        <w:rPr>
          <w:lang w:val="en-IE"/>
        </w:rPr>
        <w:t>,</w:t>
      </w:r>
      <w:r>
        <w:rPr>
          <w:lang w:val="en-IE"/>
        </w:rPr>
        <w:t xml:space="preserve"> and o</w:t>
      </w:r>
      <w:r w:rsidR="00A5282E">
        <w:rPr>
          <w:lang w:val="en-IE"/>
        </w:rPr>
        <w:t xml:space="preserve">thers are not! The concept </w:t>
      </w:r>
      <w:r w:rsidR="00FE5FD6">
        <w:rPr>
          <w:lang w:val="en-IE"/>
        </w:rPr>
        <w:t xml:space="preserve">is useful because it </w:t>
      </w:r>
      <w:r>
        <w:rPr>
          <w:lang w:val="en-IE"/>
        </w:rPr>
        <w:t>bring</w:t>
      </w:r>
      <w:r w:rsidR="00A5282E">
        <w:rPr>
          <w:lang w:val="en-IE"/>
        </w:rPr>
        <w:t>s</w:t>
      </w:r>
      <w:r>
        <w:rPr>
          <w:lang w:val="en-IE"/>
        </w:rPr>
        <w:t xml:space="preserve"> to mind an approach </w:t>
      </w:r>
      <w:r w:rsidR="00FE5FD6">
        <w:rPr>
          <w:lang w:val="en-IE"/>
        </w:rPr>
        <w:t xml:space="preserve">to people </w:t>
      </w:r>
      <w:r>
        <w:rPr>
          <w:lang w:val="en-IE"/>
        </w:rPr>
        <w:t>that emphasises the advantage</w:t>
      </w:r>
      <w:r w:rsidR="00FE5FD6">
        <w:rPr>
          <w:lang w:val="en-IE"/>
        </w:rPr>
        <w:t>s</w:t>
      </w:r>
      <w:r>
        <w:rPr>
          <w:lang w:val="en-IE"/>
        </w:rPr>
        <w:t xml:space="preserve"> and strengths of a resilient person</w:t>
      </w:r>
      <w:r w:rsidR="00574846">
        <w:rPr>
          <w:lang w:val="en-IE"/>
        </w:rPr>
        <w:t xml:space="preserve"> (</w:t>
      </w:r>
      <w:r w:rsidR="00574846">
        <w:t>Zimmerman, 2013).</w:t>
      </w:r>
      <w:r>
        <w:rPr>
          <w:lang w:val="en-IE"/>
        </w:rPr>
        <w:t xml:space="preserve"> </w:t>
      </w:r>
    </w:p>
    <w:p w:rsidR="00B059E2" w:rsidRDefault="00B059E2" w:rsidP="00885E3C">
      <w:pPr>
        <w:rPr>
          <w:sz w:val="22"/>
          <w:szCs w:val="22"/>
        </w:rPr>
      </w:pPr>
      <w:r>
        <w:rPr>
          <w:lang w:val="en-IE"/>
        </w:rPr>
        <w:t>We do know that some life experiences and especially early life experiences lead to poorer life outcomes in terms of health,</w:t>
      </w:r>
      <w:r w:rsidR="00FE5FD6">
        <w:rPr>
          <w:lang w:val="en-IE"/>
        </w:rPr>
        <w:t xml:space="preserve"> longevity and mental health</w:t>
      </w:r>
      <w:r>
        <w:rPr>
          <w:lang w:val="en-IE"/>
        </w:rPr>
        <w:t xml:space="preserve">. These poor outcomes are tracked through research </w:t>
      </w:r>
      <w:r>
        <w:rPr>
          <w:sz w:val="22"/>
          <w:szCs w:val="22"/>
        </w:rPr>
        <w:t xml:space="preserve">in the Adverse Childhood Experiences projects </w:t>
      </w:r>
      <w:r>
        <w:rPr>
          <w:lang w:val="en-IE"/>
        </w:rPr>
        <w:t>(</w:t>
      </w:r>
      <w:r>
        <w:rPr>
          <w:sz w:val="22"/>
          <w:szCs w:val="22"/>
        </w:rPr>
        <w:t>Felitti, et al., 1998)</w:t>
      </w:r>
      <w:r w:rsidR="00885E3C">
        <w:rPr>
          <w:sz w:val="22"/>
          <w:szCs w:val="22"/>
        </w:rPr>
        <w:t xml:space="preserve"> and its applications (ACE, 2019; CDC, 2006)</w:t>
      </w:r>
      <w:r>
        <w:rPr>
          <w:sz w:val="22"/>
          <w:szCs w:val="22"/>
        </w:rPr>
        <w:t>.</w:t>
      </w:r>
      <w:r w:rsidR="00885E3C">
        <w:rPr>
          <w:sz w:val="22"/>
          <w:szCs w:val="22"/>
        </w:rPr>
        <w:t xml:space="preserve"> There is a rich and varied research field pointing to the finding that there is a connection between crisis, trauma, misfortunes and resulting poor outcomes.</w:t>
      </w:r>
    </w:p>
    <w:p w:rsidR="00885E3C" w:rsidRPr="00DC7CA0" w:rsidRDefault="00885E3C" w:rsidP="00885E3C">
      <w:r w:rsidRPr="00DC7CA0">
        <w:t xml:space="preserve">The question being discussed here is: Why do some people have a very predictable and problematic set of outcomes as a result of misfortunes or adverse experiences and others seemingly </w:t>
      </w:r>
      <w:r w:rsidR="00445F18">
        <w:t>with similar life experiences</w:t>
      </w:r>
      <w:r w:rsidRPr="00DC7CA0">
        <w:t xml:space="preserve"> have more positive life experience</w:t>
      </w:r>
      <w:r w:rsidR="00445F18">
        <w:t>s</w:t>
      </w:r>
      <w:r w:rsidRPr="00DC7CA0">
        <w:t xml:space="preserve"> and healthy outcomes – whether measured in health, relationships, </w:t>
      </w:r>
      <w:r w:rsidR="00A5282E">
        <w:t>car</w:t>
      </w:r>
      <w:r w:rsidR="00445F18">
        <w:t>e</w:t>
      </w:r>
      <w:r w:rsidR="00A5282E">
        <w:t xml:space="preserve">ers, </w:t>
      </w:r>
      <w:r w:rsidRPr="00DC7CA0">
        <w:t>etc.</w:t>
      </w:r>
    </w:p>
    <w:p w:rsidR="00885E3C" w:rsidRPr="00DC7CA0" w:rsidRDefault="00885E3C" w:rsidP="00885E3C">
      <w:r w:rsidRPr="00DC7CA0">
        <w:t>When I look at my own research I tu</w:t>
      </w:r>
      <w:r w:rsidR="00A5282E">
        <w:t>rn to John Bowlby’s Attachment T</w:t>
      </w:r>
      <w:r w:rsidRPr="00DC7CA0">
        <w:t>heory (Bowlby, 1969, 1973</w:t>
      </w:r>
      <w:r w:rsidR="00541CDE" w:rsidRPr="00DC7CA0">
        <w:t>; Fleming 2007, 2008, 2018</w:t>
      </w:r>
      <w:r w:rsidRPr="00DC7CA0">
        <w:t>)</w:t>
      </w:r>
      <w:r w:rsidR="00541CDE" w:rsidRPr="00DC7CA0">
        <w:t xml:space="preserve"> who looked at attachment </w:t>
      </w:r>
      <w:r w:rsidR="00445F18">
        <w:t xml:space="preserve">between carers and young children and </w:t>
      </w:r>
      <w:r w:rsidR="00541CDE" w:rsidRPr="00DC7CA0">
        <w:t>the</w:t>
      </w:r>
      <w:r w:rsidR="00445F18">
        <w:t xml:space="preserve">ir </w:t>
      </w:r>
      <w:r w:rsidR="00541CDE" w:rsidRPr="00DC7CA0">
        <w:t>impact on the</w:t>
      </w:r>
      <w:r w:rsidR="00445F18">
        <w:t>ir</w:t>
      </w:r>
      <w:r w:rsidR="00541CDE" w:rsidRPr="00DC7CA0">
        <w:t xml:space="preserve"> attachment style of the </w:t>
      </w:r>
      <w:r w:rsidR="00445F18">
        <w:t xml:space="preserve">growing </w:t>
      </w:r>
      <w:r w:rsidR="00541CDE" w:rsidRPr="00DC7CA0">
        <w:t xml:space="preserve">child. The ideal secure attachment is </w:t>
      </w:r>
      <w:r w:rsidR="00541CDE" w:rsidRPr="00DC7CA0">
        <w:lastRenderedPageBreak/>
        <w:t xml:space="preserve">no guarantee of good developmental outcomes in life </w:t>
      </w:r>
      <w:r w:rsidR="00A5282E">
        <w:t xml:space="preserve">- </w:t>
      </w:r>
      <w:r w:rsidR="00541CDE" w:rsidRPr="00DC7CA0">
        <w:t>partly because life can throw challenges at any</w:t>
      </w:r>
      <w:r w:rsidR="00A5282E">
        <w:t>one</w:t>
      </w:r>
      <w:r w:rsidR="00541CDE" w:rsidRPr="00DC7CA0">
        <w:t>. On the other hand</w:t>
      </w:r>
      <w:r w:rsidR="00445F18">
        <w:t>,</w:t>
      </w:r>
      <w:r w:rsidR="00541CDE" w:rsidRPr="00DC7CA0">
        <w:t xml:space="preserve"> some have less than ideal or have even chaotic attachment experiences and though there is an increased likelihood of negative outcomes, some have (surprisingly) positive and successful outcomes. Resilience is used to describe this positive outcome, achieved in spite of serious challenges.  </w:t>
      </w:r>
    </w:p>
    <w:p w:rsidR="00541CDE" w:rsidRDefault="00541CDE" w:rsidP="00885E3C">
      <w:r w:rsidRPr="00DC7CA0">
        <w:t xml:space="preserve">It is thought that some </w:t>
      </w:r>
      <w:r w:rsidR="00A5282E">
        <w:t xml:space="preserve">people </w:t>
      </w:r>
      <w:r w:rsidRPr="00DC7CA0">
        <w:t>are ‘inherently resilient’ (Sroufe, 1997)</w:t>
      </w:r>
      <w:r w:rsidR="006A3C45" w:rsidRPr="00DC7CA0">
        <w:t xml:space="preserve"> </w:t>
      </w:r>
      <w:r w:rsidR="00A5282E">
        <w:t>and there is a</w:t>
      </w:r>
      <w:r w:rsidR="006A3C45" w:rsidRPr="00DC7CA0">
        <w:t xml:space="preserve"> danger </w:t>
      </w:r>
      <w:r w:rsidR="00A5282E">
        <w:t>that</w:t>
      </w:r>
      <w:r w:rsidR="006A3C45" w:rsidRPr="00DC7CA0">
        <w:t xml:space="preserve"> resilience will be seen as a trait (Egeland, Carlson &amp; Sroufe 1993). Increased resilience is achieved through the reworking of internal models and can be facilitated, learned and taught. </w:t>
      </w:r>
      <w:r w:rsidR="00445F18">
        <w:t>Good experiences with older family members (grandparents), teachers</w:t>
      </w:r>
      <w:proofErr w:type="gramStart"/>
      <w:r w:rsidR="00445F18">
        <w:t>,,</w:t>
      </w:r>
      <w:proofErr w:type="gramEnd"/>
      <w:r w:rsidR="00445F18">
        <w:t xml:space="preserve"> youth workers may be vital in the developing resilience. </w:t>
      </w:r>
      <w:r w:rsidR="006A3C45" w:rsidRPr="00DC7CA0">
        <w:t>It is important in this regard to say that how the child perceives or construes the eff</w:t>
      </w:r>
      <w:r w:rsidR="00A5282E">
        <w:t xml:space="preserve">ort to increase resilience </w:t>
      </w:r>
      <w:r w:rsidR="006A3C45" w:rsidRPr="00DC7CA0">
        <w:t xml:space="preserve">is </w:t>
      </w:r>
      <w:r w:rsidR="00A5282E">
        <w:t xml:space="preserve">also </w:t>
      </w:r>
      <w:r w:rsidR="006A3C45" w:rsidRPr="00DC7CA0">
        <w:t>important (Atwool, 2006).</w:t>
      </w:r>
    </w:p>
    <w:p w:rsidR="00DC7CA0" w:rsidRDefault="00DC7CA0" w:rsidP="00AA266C">
      <w:pPr>
        <w:rPr>
          <w:lang w:val="en-US"/>
        </w:rPr>
      </w:pPr>
      <w:r>
        <w:rPr>
          <w:lang w:val="en-US"/>
        </w:rPr>
        <w:t>More recently, as a result of an internat</w:t>
      </w:r>
      <w:r w:rsidR="00AA3524">
        <w:rPr>
          <w:lang w:val="en-US"/>
        </w:rPr>
        <w:t xml:space="preserve">ional collaboration, </w:t>
      </w:r>
      <w:proofErr w:type="spellStart"/>
      <w:r w:rsidR="00AA3524">
        <w:rPr>
          <w:lang w:val="en-US"/>
        </w:rPr>
        <w:t>Ungar</w:t>
      </w:r>
      <w:proofErr w:type="spellEnd"/>
      <w:r w:rsidR="00AA3524">
        <w:rPr>
          <w:lang w:val="en-US"/>
        </w:rPr>
        <w:t xml:space="preserve"> (2005</w:t>
      </w:r>
      <w:r>
        <w:rPr>
          <w:lang w:val="en-US"/>
        </w:rPr>
        <w:t xml:space="preserve">) has added </w:t>
      </w:r>
      <w:r w:rsidR="00445F18">
        <w:rPr>
          <w:lang w:val="en-US"/>
        </w:rPr>
        <w:t xml:space="preserve">the surrounding </w:t>
      </w:r>
      <w:r>
        <w:rPr>
          <w:lang w:val="en-US"/>
        </w:rPr>
        <w:t xml:space="preserve">culture </w:t>
      </w:r>
      <w:r w:rsidR="00445F18">
        <w:rPr>
          <w:lang w:val="en-US"/>
        </w:rPr>
        <w:t xml:space="preserve">of the child </w:t>
      </w:r>
      <w:r>
        <w:rPr>
          <w:lang w:val="en-US"/>
        </w:rPr>
        <w:t xml:space="preserve">as </w:t>
      </w:r>
      <w:proofErr w:type="spellStart"/>
      <w:r>
        <w:rPr>
          <w:lang w:val="en-US"/>
        </w:rPr>
        <w:t>a</w:t>
      </w:r>
      <w:proofErr w:type="spellEnd"/>
      <w:r w:rsidR="00445F18">
        <w:rPr>
          <w:lang w:val="en-US"/>
        </w:rPr>
        <w:t xml:space="preserve"> f</w:t>
      </w:r>
      <w:r>
        <w:rPr>
          <w:lang w:val="en-US"/>
        </w:rPr>
        <w:t>actor</w:t>
      </w:r>
      <w:r w:rsidR="00A5282E">
        <w:rPr>
          <w:lang w:val="en-US"/>
        </w:rPr>
        <w:t xml:space="preserve"> in understanding resilience</w:t>
      </w:r>
      <w:r>
        <w:rPr>
          <w:lang w:val="en-US"/>
        </w:rPr>
        <w:t xml:space="preserve">. </w:t>
      </w:r>
      <w:r w:rsidR="00445F18">
        <w:rPr>
          <w:lang w:val="en-US"/>
        </w:rPr>
        <w:t>R</w:t>
      </w:r>
      <w:r>
        <w:rPr>
          <w:lang w:val="en-US"/>
        </w:rPr>
        <w:t>esilience is not an isolated individual characteristic. Although</w:t>
      </w:r>
      <w:r w:rsidR="00A5282E">
        <w:rPr>
          <w:lang w:val="en-US"/>
        </w:rPr>
        <w:t xml:space="preserve"> </w:t>
      </w:r>
      <w:r>
        <w:rPr>
          <w:lang w:val="en-US"/>
        </w:rPr>
        <w:t>there has been a tendency to focus on individual psychological factors and social</w:t>
      </w:r>
      <w:r w:rsidR="00A5282E">
        <w:rPr>
          <w:lang w:val="en-US"/>
        </w:rPr>
        <w:t xml:space="preserve"> influences </w:t>
      </w:r>
      <w:r>
        <w:rPr>
          <w:lang w:val="en-US"/>
        </w:rPr>
        <w:t>as separate phenomena</w:t>
      </w:r>
      <w:r w:rsidR="00A5282E">
        <w:rPr>
          <w:lang w:val="en-US"/>
        </w:rPr>
        <w:t xml:space="preserve"> in developing resilience</w:t>
      </w:r>
      <w:r>
        <w:rPr>
          <w:lang w:val="en-US"/>
        </w:rPr>
        <w:t>, research in this field points to a combination of</w:t>
      </w:r>
      <w:r w:rsidR="00A5282E">
        <w:rPr>
          <w:lang w:val="en-US"/>
        </w:rPr>
        <w:t xml:space="preserve"> </w:t>
      </w:r>
      <w:r>
        <w:rPr>
          <w:lang w:val="en-US"/>
        </w:rPr>
        <w:t>internal and external factors. Attention is now being focused on the interrelationship</w:t>
      </w:r>
      <w:r w:rsidR="00A5282E">
        <w:rPr>
          <w:lang w:val="en-US"/>
        </w:rPr>
        <w:t xml:space="preserve"> </w:t>
      </w:r>
      <w:r>
        <w:rPr>
          <w:lang w:val="en-US"/>
        </w:rPr>
        <w:t>between these factors and the possibility that they combine to produce protective</w:t>
      </w:r>
      <w:r w:rsidR="00A5282E">
        <w:rPr>
          <w:lang w:val="en-US"/>
        </w:rPr>
        <w:t xml:space="preserve"> and resilient </w:t>
      </w:r>
      <w:r>
        <w:rPr>
          <w:lang w:val="en-US"/>
        </w:rPr>
        <w:t>effects</w:t>
      </w:r>
      <w:r w:rsidR="00445F18">
        <w:rPr>
          <w:lang w:val="en-US"/>
        </w:rPr>
        <w:t xml:space="preserve"> in growing children</w:t>
      </w:r>
      <w:r>
        <w:rPr>
          <w:lang w:val="en-US"/>
        </w:rPr>
        <w:t>. Attachment theory has much to contribute to an understanding of the processes underpinning resilience.</w:t>
      </w:r>
    </w:p>
    <w:p w:rsidR="00AA266C" w:rsidRDefault="006A3C45" w:rsidP="00DC7CA0">
      <w:r w:rsidRPr="00DC7CA0">
        <w:t xml:space="preserve">What does resilience look like? For most authors (Atwool, 2006, p. 322) it involves autonomy, competence, an experience of secure attachment, recognition, having </w:t>
      </w:r>
      <w:r w:rsidR="00AA266C">
        <w:t>one</w:t>
      </w:r>
      <w:r w:rsidR="00445F18">
        <w:t>’</w:t>
      </w:r>
      <w:r w:rsidR="00AA266C">
        <w:t xml:space="preserve">s </w:t>
      </w:r>
      <w:r w:rsidRPr="00DC7CA0">
        <w:t xml:space="preserve">needs heard (the </w:t>
      </w:r>
      <w:r w:rsidR="00445F18">
        <w:t xml:space="preserve">person has a </w:t>
      </w:r>
      <w:r w:rsidRPr="00DC7CA0">
        <w:t xml:space="preserve">voice </w:t>
      </w:r>
      <w:r w:rsidR="00445F18">
        <w:t>that is heard</w:t>
      </w:r>
      <w:r w:rsidRPr="00DC7CA0">
        <w:t>)</w:t>
      </w:r>
      <w:r w:rsidR="00AA266C">
        <w:t xml:space="preserve">. This </w:t>
      </w:r>
      <w:r w:rsidRPr="00DC7CA0">
        <w:t xml:space="preserve">leads me to </w:t>
      </w:r>
      <w:r w:rsidR="00AA266C">
        <w:t xml:space="preserve">suggest that at a community and social level we can ask whether there is a community and social </w:t>
      </w:r>
      <w:r w:rsidR="007A2483">
        <w:t>resilience.</w:t>
      </w:r>
      <w:r w:rsidR="00AA266C">
        <w:t xml:space="preserve"> Education, adult education</w:t>
      </w:r>
      <w:r w:rsidRPr="00DC7CA0">
        <w:t xml:space="preserve"> </w:t>
      </w:r>
      <w:r w:rsidR="00AA266C" w:rsidRPr="00DC7CA0">
        <w:t xml:space="preserve">with its emphasis on the </w:t>
      </w:r>
      <w:r w:rsidR="00AA266C">
        <w:t xml:space="preserve">peoples experience and </w:t>
      </w:r>
      <w:r w:rsidRPr="00DC7CA0">
        <w:t>democracy</w:t>
      </w:r>
      <w:r w:rsidR="00AA266C">
        <w:t xml:space="preserve"> where all </w:t>
      </w:r>
      <w:r w:rsidRPr="00DC7CA0">
        <w:t>participat</w:t>
      </w:r>
      <w:r w:rsidR="00AA266C">
        <w:t xml:space="preserve">e and </w:t>
      </w:r>
      <w:r w:rsidRPr="00DC7CA0">
        <w:t xml:space="preserve">space given for the voice of the </w:t>
      </w:r>
      <w:r w:rsidR="00AA266C">
        <w:t xml:space="preserve">citizen and the </w:t>
      </w:r>
      <w:r w:rsidRPr="00DC7CA0">
        <w:t xml:space="preserve">learner are </w:t>
      </w:r>
      <w:r w:rsidR="00AA266C">
        <w:t xml:space="preserve">all </w:t>
      </w:r>
      <w:r w:rsidRPr="00DC7CA0">
        <w:t>good locations for building and supporting resilience</w:t>
      </w:r>
      <w:r w:rsidR="00DC7CA0" w:rsidRPr="00DC7CA0">
        <w:t xml:space="preserve"> </w:t>
      </w:r>
      <w:r w:rsidR="00DC7CA0">
        <w:t>(</w:t>
      </w:r>
      <w:r w:rsidR="00DC7CA0" w:rsidRPr="00DC7CA0">
        <w:rPr>
          <w:rFonts w:cstheme="minorHAnsi"/>
        </w:rPr>
        <w:t>Matas</w:t>
      </w:r>
      <w:r w:rsidR="00DC7CA0" w:rsidRPr="00DC7CA0">
        <w:t xml:space="preserve">, Arend, &amp; Sroufe, 1978). </w:t>
      </w:r>
      <w:r w:rsidR="00445F18">
        <w:t xml:space="preserve">Resilience is learned. </w:t>
      </w:r>
      <w:r w:rsidR="00DC7CA0" w:rsidRPr="00DC7CA0">
        <w:t xml:space="preserve">Three broad factors have been associated with resilience: </w:t>
      </w:r>
    </w:p>
    <w:p w:rsidR="00AA266C" w:rsidRDefault="00DC7CA0" w:rsidP="00AA266C">
      <w:pPr>
        <w:pStyle w:val="ListParagraph"/>
        <w:numPr>
          <w:ilvl w:val="0"/>
          <w:numId w:val="1"/>
        </w:numPr>
      </w:pPr>
      <w:r w:rsidRPr="00DC7CA0">
        <w:lastRenderedPageBreak/>
        <w:t>individual characteristics (including temperament, competence, self-efficacy and self-esteem)</w:t>
      </w:r>
      <w:r w:rsidR="00445F18">
        <w:t>;</w:t>
      </w:r>
      <w:r w:rsidRPr="00DC7CA0">
        <w:t xml:space="preserve"> </w:t>
      </w:r>
    </w:p>
    <w:p w:rsidR="00AA266C" w:rsidRDefault="00DC7CA0" w:rsidP="00AA266C">
      <w:pPr>
        <w:pStyle w:val="ListParagraph"/>
        <w:numPr>
          <w:ilvl w:val="0"/>
          <w:numId w:val="1"/>
        </w:numPr>
      </w:pPr>
      <w:r w:rsidRPr="00DC7CA0">
        <w:t>family support and</w:t>
      </w:r>
      <w:r w:rsidR="00445F18">
        <w:t>;</w:t>
      </w:r>
      <w:r w:rsidRPr="00DC7CA0">
        <w:t xml:space="preserve"> </w:t>
      </w:r>
    </w:p>
    <w:p w:rsidR="00AA266C" w:rsidRDefault="00DC7CA0" w:rsidP="00AA266C">
      <w:pPr>
        <w:pStyle w:val="ListParagraph"/>
        <w:numPr>
          <w:ilvl w:val="0"/>
          <w:numId w:val="1"/>
        </w:numPr>
      </w:pPr>
      <w:proofErr w:type="gramStart"/>
      <w:r w:rsidRPr="00DC7CA0">
        <w:t>a</w:t>
      </w:r>
      <w:proofErr w:type="gramEnd"/>
      <w:r w:rsidRPr="00DC7CA0">
        <w:t xml:space="preserve"> supportive person or agency outside the family</w:t>
      </w:r>
      <w:r w:rsidR="00AA266C">
        <w:t xml:space="preserve">, </w:t>
      </w:r>
      <w:r w:rsidR="00445F18">
        <w:t xml:space="preserve">in </w:t>
      </w:r>
      <w:r w:rsidR="00AA266C">
        <w:t>social care, child care, schools etc</w:t>
      </w:r>
      <w:r w:rsidRPr="00DC7CA0">
        <w:t xml:space="preserve">. </w:t>
      </w:r>
    </w:p>
    <w:p w:rsidR="00FE1E39" w:rsidRDefault="00DC7CA0" w:rsidP="00FE1E39">
      <w:pPr>
        <w:rPr>
          <w:rFonts w:ascii="AdvMO" w:hAnsi="AdvMO" w:cs="AdvMO"/>
          <w:sz w:val="21"/>
          <w:szCs w:val="21"/>
          <w:lang w:val="en-US"/>
        </w:rPr>
      </w:pPr>
      <w:proofErr w:type="gramStart"/>
      <w:r>
        <w:t xml:space="preserve">According to </w:t>
      </w:r>
      <w:proofErr w:type="spellStart"/>
      <w:r>
        <w:t>Atwool</w:t>
      </w:r>
      <w:proofErr w:type="spellEnd"/>
      <w:r>
        <w:t xml:space="preserve"> (2006, p.</w:t>
      </w:r>
      <w:proofErr w:type="gramEnd"/>
      <w:r>
        <w:t xml:space="preserve">  </w:t>
      </w:r>
      <w:r w:rsidR="00FE1E39">
        <w:rPr>
          <w:rFonts w:ascii="AdvMO" w:hAnsi="AdvMO" w:cs="AdvMO"/>
          <w:sz w:val="21"/>
          <w:szCs w:val="21"/>
          <w:lang w:val="en-US"/>
        </w:rPr>
        <w:t>320</w:t>
      </w:r>
      <w:r>
        <w:rPr>
          <w:rFonts w:ascii="AdvMO" w:hAnsi="AdvMO" w:cs="AdvMO"/>
          <w:sz w:val="21"/>
          <w:szCs w:val="21"/>
          <w:lang w:val="en-US"/>
        </w:rPr>
        <w:t>)</w:t>
      </w:r>
      <w:r w:rsidR="00445F18">
        <w:rPr>
          <w:rFonts w:ascii="AdvMO" w:hAnsi="AdvMO" w:cs="AdvMO"/>
          <w:sz w:val="21"/>
          <w:szCs w:val="21"/>
          <w:lang w:val="en-US"/>
        </w:rPr>
        <w:t xml:space="preserve"> the path to resilience involves</w:t>
      </w:r>
      <w:r w:rsidR="00FE1E39">
        <w:rPr>
          <w:rFonts w:ascii="AdvMO" w:hAnsi="AdvMO" w:cs="AdvMO"/>
          <w:sz w:val="21"/>
          <w:szCs w:val="21"/>
          <w:lang w:val="en-US"/>
        </w:rPr>
        <w:t>:</w:t>
      </w:r>
    </w:p>
    <w:p w:rsidR="00617460" w:rsidRPr="000A10E0" w:rsidRDefault="00617460" w:rsidP="000A10E0">
      <w:pPr>
        <w:ind w:left="720"/>
      </w:pPr>
      <w:r w:rsidRPr="00DC7CA0">
        <w:t>Opportunities to engage in relationships with significant adults must be available</w:t>
      </w:r>
      <w:r w:rsidRPr="00DC7CA0">
        <w:br/>
        <w:t xml:space="preserve">and an understanding of the inter-relationship between attachment and resilience will enhance the ability of staff in these environments to engage in meaningful ways with children and young people. These adults also need to have an understanding of the significance of relationships and the role attachment plays in </w:t>
      </w:r>
      <w:r w:rsidRPr="00DC7CA0">
        <w:rPr>
          <w:rStyle w:val="highlight"/>
          <w:rFonts w:cstheme="minorHAnsi"/>
        </w:rPr>
        <w:t>resilience (Atwool p. 326)</w:t>
      </w:r>
    </w:p>
    <w:p w:rsidR="00AA266C" w:rsidRDefault="00DC7CA0" w:rsidP="00AA266C">
      <w:pPr>
        <w:rPr>
          <w:rFonts w:cstheme="minorHAnsi"/>
          <w:lang w:val="en-US"/>
        </w:rPr>
      </w:pPr>
      <w:r w:rsidRPr="00AA266C">
        <w:rPr>
          <w:rFonts w:cstheme="minorHAnsi"/>
          <w:lang w:val="en-US"/>
        </w:rPr>
        <w:t>Other research indicates the importance of education and care for the development of re</w:t>
      </w:r>
      <w:r w:rsidR="00AA266C" w:rsidRPr="00AA266C">
        <w:rPr>
          <w:rFonts w:cstheme="minorHAnsi"/>
          <w:lang w:val="en-US"/>
        </w:rPr>
        <w:t>s</w:t>
      </w:r>
      <w:r w:rsidR="000A10E0">
        <w:rPr>
          <w:rFonts w:cstheme="minorHAnsi"/>
          <w:lang w:val="en-US"/>
        </w:rPr>
        <w:t xml:space="preserve">ilience (Atwool, 2006, p. 321). </w:t>
      </w:r>
      <w:r w:rsidR="00FE1E39" w:rsidRPr="00AA266C">
        <w:rPr>
          <w:rFonts w:cstheme="minorHAnsi"/>
          <w:lang w:val="en-US"/>
        </w:rPr>
        <w:t>Matson and Coatsworth (1998) identify critical</w:t>
      </w:r>
      <w:r w:rsidR="00AA266C" w:rsidRPr="00AA266C">
        <w:rPr>
          <w:rFonts w:cstheme="minorHAnsi"/>
          <w:lang w:val="en-US"/>
        </w:rPr>
        <w:t xml:space="preserve"> </w:t>
      </w:r>
      <w:r w:rsidR="00FE1E39" w:rsidRPr="00AA266C">
        <w:rPr>
          <w:rFonts w:cstheme="minorHAnsi"/>
          <w:lang w:val="en-US"/>
        </w:rPr>
        <w:t xml:space="preserve">developmental tasks as </w:t>
      </w:r>
    </w:p>
    <w:p w:rsidR="00AA266C" w:rsidRPr="00AA266C" w:rsidRDefault="000A10E0" w:rsidP="00AA266C">
      <w:pPr>
        <w:pStyle w:val="ListParagraph"/>
        <w:numPr>
          <w:ilvl w:val="0"/>
          <w:numId w:val="2"/>
        </w:numPr>
        <w:rPr>
          <w:rFonts w:cstheme="minorHAnsi"/>
          <w:lang w:val="en-US"/>
        </w:rPr>
      </w:pPr>
      <w:r>
        <w:rPr>
          <w:rFonts w:cstheme="minorHAnsi"/>
          <w:lang w:val="en-US"/>
        </w:rPr>
        <w:t>social competence with peers;</w:t>
      </w:r>
      <w:r w:rsidR="00FE1E39" w:rsidRPr="00AA266C">
        <w:rPr>
          <w:rFonts w:cstheme="minorHAnsi"/>
          <w:lang w:val="en-US"/>
        </w:rPr>
        <w:t xml:space="preserve"> </w:t>
      </w:r>
    </w:p>
    <w:p w:rsidR="00AA266C" w:rsidRPr="00AA266C" w:rsidRDefault="00FE1E39" w:rsidP="00AA266C">
      <w:pPr>
        <w:pStyle w:val="ListParagraph"/>
        <w:numPr>
          <w:ilvl w:val="0"/>
          <w:numId w:val="2"/>
        </w:numPr>
        <w:rPr>
          <w:rFonts w:cstheme="minorHAnsi"/>
          <w:lang w:val="en-US"/>
        </w:rPr>
      </w:pPr>
      <w:r w:rsidRPr="00AA266C">
        <w:rPr>
          <w:rFonts w:cstheme="minorHAnsi"/>
          <w:lang w:val="en-US"/>
        </w:rPr>
        <w:t>socially appropriat</w:t>
      </w:r>
      <w:r w:rsidR="000A10E0">
        <w:rPr>
          <w:rFonts w:cstheme="minorHAnsi"/>
          <w:lang w:val="en-US"/>
        </w:rPr>
        <w:t>e conduct;</w:t>
      </w:r>
      <w:r w:rsidR="00AA266C" w:rsidRPr="00AA266C">
        <w:rPr>
          <w:rFonts w:cstheme="minorHAnsi"/>
          <w:lang w:val="en-US"/>
        </w:rPr>
        <w:t xml:space="preserve"> </w:t>
      </w:r>
    </w:p>
    <w:p w:rsidR="00AA266C" w:rsidRPr="00AA266C" w:rsidRDefault="00FE1E39" w:rsidP="00AA266C">
      <w:pPr>
        <w:pStyle w:val="ListParagraph"/>
        <w:numPr>
          <w:ilvl w:val="0"/>
          <w:numId w:val="2"/>
        </w:numPr>
        <w:rPr>
          <w:rFonts w:cstheme="minorHAnsi"/>
          <w:lang w:val="en-US"/>
        </w:rPr>
      </w:pPr>
      <w:r w:rsidRPr="00AA266C">
        <w:rPr>
          <w:rFonts w:cstheme="minorHAnsi"/>
          <w:lang w:val="en-US"/>
        </w:rPr>
        <w:t>academic achievement, and</w:t>
      </w:r>
      <w:r w:rsidR="000A10E0">
        <w:rPr>
          <w:rFonts w:cstheme="minorHAnsi"/>
          <w:lang w:val="en-US"/>
        </w:rPr>
        <w:t>;</w:t>
      </w:r>
      <w:r w:rsidRPr="00AA266C">
        <w:rPr>
          <w:rFonts w:cstheme="minorHAnsi"/>
          <w:lang w:val="en-US"/>
        </w:rPr>
        <w:t xml:space="preserve"> </w:t>
      </w:r>
    </w:p>
    <w:p w:rsidR="00AA266C" w:rsidRPr="00AA266C" w:rsidRDefault="00FE1E39" w:rsidP="00AA266C">
      <w:pPr>
        <w:pStyle w:val="ListParagraph"/>
        <w:numPr>
          <w:ilvl w:val="0"/>
          <w:numId w:val="2"/>
        </w:numPr>
        <w:rPr>
          <w:rFonts w:cstheme="minorHAnsi"/>
          <w:lang w:val="en-US"/>
        </w:rPr>
      </w:pPr>
      <w:r w:rsidRPr="00AA266C">
        <w:rPr>
          <w:rFonts w:cstheme="minorHAnsi"/>
          <w:lang w:val="en-US"/>
        </w:rPr>
        <w:t xml:space="preserve">involvement in activities and work. </w:t>
      </w:r>
    </w:p>
    <w:p w:rsidR="00AA266C" w:rsidRDefault="00FE1E39" w:rsidP="00AA266C">
      <w:pPr>
        <w:rPr>
          <w:rFonts w:cstheme="minorHAnsi"/>
          <w:lang w:val="en-US"/>
        </w:rPr>
      </w:pPr>
      <w:r w:rsidRPr="00AA266C">
        <w:rPr>
          <w:rFonts w:cstheme="minorHAnsi"/>
          <w:lang w:val="en-US"/>
        </w:rPr>
        <w:t>They conclude by</w:t>
      </w:r>
      <w:r w:rsidR="00AA266C" w:rsidRPr="00AA266C">
        <w:rPr>
          <w:rFonts w:cstheme="minorHAnsi"/>
          <w:lang w:val="en-US"/>
        </w:rPr>
        <w:t xml:space="preserve"> </w:t>
      </w:r>
      <w:r w:rsidRPr="00AA266C">
        <w:rPr>
          <w:rFonts w:cstheme="minorHAnsi"/>
          <w:lang w:val="en-US"/>
        </w:rPr>
        <w:t xml:space="preserve">identifying three crucial protective factors: </w:t>
      </w:r>
    </w:p>
    <w:p w:rsidR="00AA266C" w:rsidRPr="00AA266C" w:rsidRDefault="00FE1E39" w:rsidP="00AA266C">
      <w:pPr>
        <w:pStyle w:val="ListParagraph"/>
        <w:numPr>
          <w:ilvl w:val="0"/>
          <w:numId w:val="3"/>
        </w:numPr>
        <w:rPr>
          <w:rFonts w:cstheme="minorHAnsi"/>
          <w:lang w:val="en-US"/>
        </w:rPr>
      </w:pPr>
      <w:r w:rsidRPr="00AA266C">
        <w:rPr>
          <w:rFonts w:cstheme="minorHAnsi"/>
          <w:lang w:val="en-US"/>
        </w:rPr>
        <w:t>caring and effective parent</w:t>
      </w:r>
      <w:r w:rsidR="00AA266C" w:rsidRPr="00AA266C">
        <w:rPr>
          <w:rFonts w:cstheme="minorHAnsi"/>
          <w:lang w:val="en-US"/>
        </w:rPr>
        <w:t>-</w:t>
      </w:r>
      <w:r w:rsidRPr="00AA266C">
        <w:rPr>
          <w:rFonts w:cstheme="minorHAnsi"/>
          <w:lang w:val="en-US"/>
        </w:rPr>
        <w:t>child</w:t>
      </w:r>
      <w:r w:rsidR="00AA266C" w:rsidRPr="00AA266C">
        <w:rPr>
          <w:rFonts w:cstheme="minorHAnsi"/>
          <w:lang w:val="en-US"/>
        </w:rPr>
        <w:t xml:space="preserve"> </w:t>
      </w:r>
      <w:r w:rsidRPr="00AA266C">
        <w:rPr>
          <w:rFonts w:cstheme="minorHAnsi"/>
          <w:lang w:val="en-US"/>
        </w:rPr>
        <w:t xml:space="preserve">relationships, </w:t>
      </w:r>
    </w:p>
    <w:p w:rsidR="00AA266C" w:rsidRPr="00AA266C" w:rsidRDefault="00FE1E39" w:rsidP="00AA266C">
      <w:pPr>
        <w:pStyle w:val="ListParagraph"/>
        <w:numPr>
          <w:ilvl w:val="0"/>
          <w:numId w:val="3"/>
        </w:numPr>
        <w:rPr>
          <w:rFonts w:cstheme="minorHAnsi"/>
          <w:lang w:val="en-US"/>
        </w:rPr>
      </w:pPr>
      <w:r w:rsidRPr="00AA266C">
        <w:rPr>
          <w:rFonts w:cstheme="minorHAnsi"/>
          <w:lang w:val="en-US"/>
        </w:rPr>
        <w:t xml:space="preserve">good cognitive development and </w:t>
      </w:r>
    </w:p>
    <w:p w:rsidR="00AA266C" w:rsidRPr="00AA266C" w:rsidRDefault="00FE1E39" w:rsidP="00AA266C">
      <w:pPr>
        <w:pStyle w:val="ListParagraph"/>
        <w:numPr>
          <w:ilvl w:val="0"/>
          <w:numId w:val="3"/>
        </w:numPr>
        <w:rPr>
          <w:rFonts w:cstheme="minorHAnsi"/>
          <w:lang w:val="en-US"/>
        </w:rPr>
      </w:pPr>
      <w:r w:rsidRPr="00AA266C">
        <w:rPr>
          <w:rFonts w:cstheme="minorHAnsi"/>
          <w:lang w:val="en-US"/>
        </w:rPr>
        <w:t>self-regulation of attention, emotion</w:t>
      </w:r>
      <w:r w:rsidR="00AA266C" w:rsidRPr="00AA266C">
        <w:rPr>
          <w:rFonts w:cstheme="minorHAnsi"/>
          <w:lang w:val="en-US"/>
        </w:rPr>
        <w:t xml:space="preserve"> </w:t>
      </w:r>
      <w:r w:rsidRPr="00AA266C">
        <w:rPr>
          <w:rFonts w:cstheme="minorHAnsi"/>
          <w:lang w:val="en-US"/>
        </w:rPr>
        <w:t xml:space="preserve">and behavior. </w:t>
      </w:r>
    </w:p>
    <w:p w:rsidR="00FE1E39" w:rsidRPr="00AA266C" w:rsidRDefault="00FE1E39" w:rsidP="00AA266C">
      <w:pPr>
        <w:rPr>
          <w:rFonts w:cstheme="minorHAnsi"/>
          <w:lang w:val="en-US"/>
        </w:rPr>
      </w:pPr>
      <w:r w:rsidRPr="00AA266C">
        <w:rPr>
          <w:rFonts w:cstheme="minorHAnsi"/>
          <w:lang w:val="en-US"/>
        </w:rPr>
        <w:t>Security of attachment and internal working models influence all of</w:t>
      </w:r>
      <w:r w:rsidR="00AA266C" w:rsidRPr="00AA266C">
        <w:rPr>
          <w:rFonts w:cstheme="minorHAnsi"/>
          <w:lang w:val="en-US"/>
        </w:rPr>
        <w:t xml:space="preserve"> </w:t>
      </w:r>
      <w:r w:rsidRPr="00AA266C">
        <w:rPr>
          <w:rFonts w:cstheme="minorHAnsi"/>
          <w:lang w:val="en-US"/>
        </w:rPr>
        <w:t>these aspects of development. Arguably, quality of attachment is instrumental in the four central areas associated</w:t>
      </w:r>
      <w:r w:rsidR="00AA266C" w:rsidRPr="00AA266C">
        <w:rPr>
          <w:rFonts w:cstheme="minorHAnsi"/>
          <w:lang w:val="en-US"/>
        </w:rPr>
        <w:t xml:space="preserve"> </w:t>
      </w:r>
      <w:r w:rsidRPr="00AA266C">
        <w:rPr>
          <w:rFonts w:cstheme="minorHAnsi"/>
          <w:lang w:val="en-US"/>
        </w:rPr>
        <w:t>with resilience, individual characteristics, supportive family, positive connections</w:t>
      </w:r>
      <w:r w:rsidR="00AA266C" w:rsidRPr="00AA266C">
        <w:rPr>
          <w:rFonts w:cstheme="minorHAnsi"/>
          <w:lang w:val="en-US"/>
        </w:rPr>
        <w:t xml:space="preserve"> </w:t>
      </w:r>
      <w:r w:rsidRPr="00AA266C">
        <w:rPr>
          <w:rFonts w:cstheme="minorHAnsi"/>
          <w:lang w:val="en-US"/>
        </w:rPr>
        <w:t>with adults or agencies in the environment, and culture.</w:t>
      </w:r>
    </w:p>
    <w:p w:rsidR="00574846" w:rsidRPr="00574846" w:rsidRDefault="00574846" w:rsidP="00574846">
      <w:pPr>
        <w:spacing w:line="240" w:lineRule="auto"/>
        <w:rPr>
          <w:rFonts w:cstheme="minorHAnsi"/>
          <w:b/>
          <w:lang w:val="en-US"/>
        </w:rPr>
      </w:pPr>
      <w:r>
        <w:rPr>
          <w:rFonts w:cstheme="minorHAnsi"/>
          <w:b/>
          <w:lang w:val="en-US"/>
        </w:rPr>
        <w:lastRenderedPageBreak/>
        <w:t>Res</w:t>
      </w:r>
      <w:r w:rsidRPr="00574846">
        <w:rPr>
          <w:rFonts w:cstheme="minorHAnsi"/>
          <w:b/>
          <w:lang w:val="en-US"/>
        </w:rPr>
        <w:t>ilience in the Learning City</w:t>
      </w:r>
    </w:p>
    <w:p w:rsidR="00574846" w:rsidRPr="00574846" w:rsidRDefault="00AA266C" w:rsidP="00AA266C">
      <w:pPr>
        <w:rPr>
          <w:lang w:val="en-US"/>
        </w:rPr>
      </w:pPr>
      <w:r>
        <w:rPr>
          <w:rFonts w:cstheme="minorHAnsi"/>
          <w:lang w:val="en-US"/>
        </w:rPr>
        <w:t xml:space="preserve">There are a wide number of ways of naming </w:t>
      </w:r>
      <w:r w:rsidR="000A10E0">
        <w:rPr>
          <w:rFonts w:cstheme="minorHAnsi"/>
          <w:lang w:val="en-US"/>
        </w:rPr>
        <w:t xml:space="preserve">the </w:t>
      </w:r>
      <w:r>
        <w:rPr>
          <w:rFonts w:cstheme="minorHAnsi"/>
          <w:lang w:val="en-US"/>
        </w:rPr>
        <w:t>predictors of resilience</w:t>
      </w:r>
      <w:r w:rsidR="000A10E0">
        <w:rPr>
          <w:rFonts w:cstheme="minorHAnsi"/>
          <w:lang w:val="en-US"/>
        </w:rPr>
        <w:t xml:space="preserve">. </w:t>
      </w:r>
      <w:r>
        <w:t>Ackerman (2021)</w:t>
      </w:r>
      <w:r w:rsidR="000A10E0">
        <w:t xml:space="preserve"> identifies these, </w:t>
      </w:r>
      <w:r>
        <w:t xml:space="preserve">however in </w:t>
      </w:r>
      <w:r w:rsidR="00574846" w:rsidRPr="00574846">
        <w:rPr>
          <w:lang w:val="en-US"/>
        </w:rPr>
        <w:t xml:space="preserve">making the transition to the Learning City project the six predictors of resilience </w:t>
      </w:r>
      <w:r w:rsidR="000A10E0">
        <w:rPr>
          <w:lang w:val="en-US"/>
        </w:rPr>
        <w:t xml:space="preserve">might be applied not just to individuals but to a community and society. The best predictors of resilience </w:t>
      </w:r>
      <w:r>
        <w:rPr>
          <w:lang w:val="en-US"/>
        </w:rPr>
        <w:t xml:space="preserve">according to </w:t>
      </w:r>
      <w:proofErr w:type="spellStart"/>
      <w:r>
        <w:t>Roussouw</w:t>
      </w:r>
      <w:proofErr w:type="spellEnd"/>
      <w:r>
        <w:t xml:space="preserve"> &amp; </w:t>
      </w:r>
      <w:proofErr w:type="spellStart"/>
      <w:r>
        <w:t>Roussouw</w:t>
      </w:r>
      <w:proofErr w:type="spellEnd"/>
      <w:r>
        <w:t xml:space="preserve"> (2016)</w:t>
      </w:r>
      <w:r w:rsidR="000A10E0">
        <w:t xml:space="preserve"> are</w:t>
      </w:r>
      <w:r w:rsidR="00574846" w:rsidRPr="00574846">
        <w:rPr>
          <w:lang w:val="en-US"/>
        </w:rPr>
        <w:t>:</w:t>
      </w:r>
    </w:p>
    <w:p w:rsidR="007A2483" w:rsidRDefault="00574846" w:rsidP="00574846">
      <w:pPr>
        <w:spacing w:line="240" w:lineRule="auto"/>
        <w:rPr>
          <w:rFonts w:cstheme="minorHAnsi"/>
          <w:lang w:val="en-US"/>
        </w:rPr>
      </w:pPr>
      <w:r w:rsidRPr="00574846">
        <w:rPr>
          <w:rFonts w:cstheme="minorHAnsi"/>
          <w:lang w:val="en-US"/>
        </w:rPr>
        <w:tab/>
        <w:t>Vision</w:t>
      </w:r>
      <w:r w:rsidR="00AA266C">
        <w:rPr>
          <w:rFonts w:cstheme="minorHAnsi"/>
          <w:lang w:val="en-US"/>
        </w:rPr>
        <w:t xml:space="preserve"> </w:t>
      </w:r>
    </w:p>
    <w:p w:rsidR="00574846" w:rsidRPr="00AA266C" w:rsidRDefault="00AA266C" w:rsidP="007A2483">
      <w:pPr>
        <w:spacing w:line="240" w:lineRule="auto"/>
        <w:ind w:left="720" w:firstLine="720"/>
        <w:rPr>
          <w:rFonts w:cstheme="minorHAnsi"/>
          <w:i/>
          <w:lang w:val="en-US"/>
        </w:rPr>
      </w:pPr>
      <w:r>
        <w:rPr>
          <w:rFonts w:cstheme="minorHAnsi"/>
          <w:i/>
          <w:lang w:val="en-US"/>
        </w:rPr>
        <w:t>This includes a sense of identity or even for children an identification with a place</w:t>
      </w:r>
      <w:r w:rsidR="00D43634">
        <w:rPr>
          <w:rFonts w:cstheme="minorHAnsi"/>
          <w:i/>
          <w:lang w:val="en-US"/>
        </w:rPr>
        <w:t xml:space="preserve">, </w:t>
      </w:r>
      <w:r w:rsidR="00D43634">
        <w:rPr>
          <w:rFonts w:cstheme="minorHAnsi"/>
          <w:i/>
          <w:lang w:val="en-US"/>
        </w:rPr>
        <w:tab/>
        <w:t xml:space="preserve">pride, values associated with that place and all the positive things that are often </w:t>
      </w:r>
      <w:r w:rsidR="00D43634">
        <w:rPr>
          <w:rFonts w:cstheme="minorHAnsi"/>
          <w:i/>
          <w:lang w:val="en-US"/>
        </w:rPr>
        <w:tab/>
      </w:r>
      <w:r w:rsidR="00D43634">
        <w:rPr>
          <w:rFonts w:cstheme="minorHAnsi"/>
          <w:i/>
          <w:lang w:val="en-US"/>
        </w:rPr>
        <w:tab/>
        <w:t>taken for granted, learned and expressed.</w:t>
      </w:r>
    </w:p>
    <w:p w:rsidR="007A2483" w:rsidRDefault="00574846" w:rsidP="00574846">
      <w:pPr>
        <w:spacing w:line="240" w:lineRule="auto"/>
        <w:rPr>
          <w:rFonts w:cstheme="minorHAnsi"/>
          <w:lang w:val="en-US"/>
        </w:rPr>
      </w:pPr>
      <w:r w:rsidRPr="00574846">
        <w:rPr>
          <w:rFonts w:cstheme="minorHAnsi"/>
          <w:lang w:val="en-US"/>
        </w:rPr>
        <w:tab/>
        <w:t>Composure</w:t>
      </w:r>
      <w:r w:rsidR="00D43634">
        <w:rPr>
          <w:rFonts w:cstheme="minorHAnsi"/>
          <w:lang w:val="en-US"/>
        </w:rPr>
        <w:t xml:space="preserve"> </w:t>
      </w:r>
    </w:p>
    <w:p w:rsidR="00574846" w:rsidRPr="00D43634" w:rsidRDefault="000A10E0" w:rsidP="000A10E0">
      <w:pPr>
        <w:spacing w:line="240" w:lineRule="auto"/>
        <w:ind w:left="1440"/>
        <w:rPr>
          <w:rFonts w:cstheme="minorHAnsi"/>
          <w:i/>
          <w:lang w:val="en-US"/>
        </w:rPr>
      </w:pPr>
      <w:r>
        <w:rPr>
          <w:rFonts w:cstheme="minorHAnsi"/>
          <w:i/>
          <w:lang w:val="en-US"/>
        </w:rPr>
        <w:t>This</w:t>
      </w:r>
      <w:r w:rsidR="00D43634">
        <w:rPr>
          <w:rFonts w:cstheme="minorHAnsi"/>
          <w:i/>
          <w:lang w:val="en-US"/>
        </w:rPr>
        <w:t xml:space="preserve"> mean</w:t>
      </w:r>
      <w:r>
        <w:rPr>
          <w:rFonts w:cstheme="minorHAnsi"/>
          <w:i/>
          <w:lang w:val="en-US"/>
        </w:rPr>
        <w:t>s</w:t>
      </w:r>
      <w:r w:rsidR="00D43634">
        <w:rPr>
          <w:rFonts w:cstheme="minorHAnsi"/>
          <w:i/>
          <w:lang w:val="en-US"/>
        </w:rPr>
        <w:t xml:space="preserve"> the ability to not panic in t</w:t>
      </w:r>
      <w:r>
        <w:rPr>
          <w:rFonts w:cstheme="minorHAnsi"/>
          <w:i/>
          <w:lang w:val="en-US"/>
        </w:rPr>
        <w:t xml:space="preserve">he light of minor or even more </w:t>
      </w:r>
      <w:r w:rsidR="00D43634">
        <w:rPr>
          <w:rFonts w:cstheme="minorHAnsi"/>
          <w:i/>
          <w:lang w:val="en-US"/>
        </w:rPr>
        <w:t>major problems and challenges, a sort of security in the face of questions</w:t>
      </w:r>
      <w:r>
        <w:rPr>
          <w:rFonts w:cstheme="minorHAnsi"/>
          <w:i/>
          <w:lang w:val="en-US"/>
        </w:rPr>
        <w:t xml:space="preserve"> and dilemmas</w:t>
      </w:r>
      <w:r w:rsidR="00D43634">
        <w:rPr>
          <w:rFonts w:cstheme="minorHAnsi"/>
          <w:i/>
          <w:lang w:val="en-US"/>
        </w:rPr>
        <w:t>.</w:t>
      </w:r>
    </w:p>
    <w:p w:rsidR="00D43634" w:rsidRDefault="00574846" w:rsidP="00574846">
      <w:pPr>
        <w:spacing w:line="240" w:lineRule="auto"/>
        <w:ind w:left="720"/>
        <w:rPr>
          <w:rFonts w:cstheme="minorHAnsi"/>
          <w:lang w:val="en-US"/>
        </w:rPr>
      </w:pPr>
      <w:r w:rsidRPr="00574846">
        <w:rPr>
          <w:rFonts w:cstheme="minorHAnsi"/>
          <w:lang w:val="en-US"/>
        </w:rPr>
        <w:t>Tenacity</w:t>
      </w:r>
      <w:r w:rsidR="00D43634">
        <w:rPr>
          <w:rFonts w:cstheme="minorHAnsi"/>
          <w:lang w:val="en-US"/>
        </w:rPr>
        <w:t xml:space="preserve"> </w:t>
      </w:r>
    </w:p>
    <w:p w:rsidR="00574846" w:rsidRPr="00D43634" w:rsidRDefault="00D43634" w:rsidP="00D43634">
      <w:pPr>
        <w:spacing w:line="240" w:lineRule="auto"/>
        <w:ind w:left="720" w:firstLine="720"/>
        <w:rPr>
          <w:rFonts w:cstheme="minorHAnsi"/>
          <w:i/>
          <w:lang w:val="en-US"/>
        </w:rPr>
      </w:pPr>
      <w:r w:rsidRPr="00D43634">
        <w:rPr>
          <w:rFonts w:cstheme="minorHAnsi"/>
          <w:i/>
          <w:lang w:val="en-US"/>
        </w:rPr>
        <w:t xml:space="preserve">It takes some determination to ‘keep on going’ and starting from the beginning </w:t>
      </w:r>
      <w:r>
        <w:rPr>
          <w:rFonts w:cstheme="minorHAnsi"/>
          <w:i/>
          <w:lang w:val="en-US"/>
        </w:rPr>
        <w:tab/>
      </w:r>
      <w:r w:rsidRPr="00D43634">
        <w:rPr>
          <w:rFonts w:cstheme="minorHAnsi"/>
          <w:i/>
          <w:lang w:val="en-US"/>
        </w:rPr>
        <w:t xml:space="preserve">each day or each </w:t>
      </w:r>
      <w:r>
        <w:rPr>
          <w:rFonts w:cstheme="minorHAnsi"/>
          <w:i/>
          <w:lang w:val="en-US"/>
        </w:rPr>
        <w:t>M</w:t>
      </w:r>
      <w:r w:rsidRPr="00D43634">
        <w:rPr>
          <w:rFonts w:cstheme="minorHAnsi"/>
          <w:i/>
          <w:lang w:val="en-US"/>
        </w:rPr>
        <w:t>onday or each new academic year;</w:t>
      </w:r>
    </w:p>
    <w:p w:rsidR="007A2483" w:rsidRDefault="00574846" w:rsidP="00D43634">
      <w:pPr>
        <w:spacing w:line="240" w:lineRule="auto"/>
        <w:ind w:left="720"/>
        <w:rPr>
          <w:rFonts w:cstheme="minorHAnsi"/>
          <w:lang w:val="en-US"/>
        </w:rPr>
      </w:pPr>
      <w:r w:rsidRPr="00574846">
        <w:rPr>
          <w:rFonts w:cstheme="minorHAnsi"/>
          <w:lang w:val="en-US"/>
        </w:rPr>
        <w:t>Reasoning</w:t>
      </w:r>
      <w:r w:rsidR="00D43634">
        <w:rPr>
          <w:rFonts w:cstheme="minorHAnsi"/>
          <w:lang w:val="en-US"/>
        </w:rPr>
        <w:t xml:space="preserve"> </w:t>
      </w:r>
    </w:p>
    <w:p w:rsidR="00574846" w:rsidRPr="00D43634" w:rsidRDefault="00D43634" w:rsidP="007A2483">
      <w:pPr>
        <w:spacing w:line="240" w:lineRule="auto"/>
        <w:ind w:left="1440"/>
        <w:rPr>
          <w:rFonts w:cstheme="minorHAnsi"/>
          <w:i/>
          <w:lang w:val="en-US"/>
        </w:rPr>
      </w:pPr>
      <w:r w:rsidRPr="00D43634">
        <w:rPr>
          <w:rFonts w:cstheme="minorHAnsi"/>
          <w:i/>
          <w:lang w:val="en-US"/>
        </w:rPr>
        <w:t xml:space="preserve">Critical, thinking, aware of the strengths and </w:t>
      </w:r>
      <w:proofErr w:type="gramStart"/>
      <w:r w:rsidRPr="00D43634">
        <w:rPr>
          <w:rFonts w:cstheme="minorHAnsi"/>
          <w:i/>
          <w:lang w:val="en-US"/>
        </w:rPr>
        <w:t>weakness  of</w:t>
      </w:r>
      <w:proofErr w:type="gramEnd"/>
      <w:r w:rsidRPr="00D43634">
        <w:rPr>
          <w:rFonts w:cstheme="minorHAnsi"/>
          <w:i/>
          <w:lang w:val="en-US"/>
        </w:rPr>
        <w:t xml:space="preserve"> science, of not </w:t>
      </w:r>
      <w:r>
        <w:rPr>
          <w:rFonts w:cstheme="minorHAnsi"/>
          <w:i/>
          <w:lang w:val="en-US"/>
        </w:rPr>
        <w:tab/>
      </w:r>
      <w:r w:rsidRPr="00D43634">
        <w:rPr>
          <w:rFonts w:cstheme="minorHAnsi"/>
          <w:i/>
          <w:lang w:val="en-US"/>
        </w:rPr>
        <w:t xml:space="preserve">being </w:t>
      </w:r>
      <w:r w:rsidR="000A10E0">
        <w:rPr>
          <w:rFonts w:cstheme="minorHAnsi"/>
          <w:i/>
          <w:lang w:val="en-US"/>
        </w:rPr>
        <w:t xml:space="preserve">against </w:t>
      </w:r>
      <w:r w:rsidRPr="00D43634">
        <w:rPr>
          <w:rFonts w:cstheme="minorHAnsi"/>
          <w:i/>
          <w:lang w:val="en-US"/>
        </w:rPr>
        <w:t xml:space="preserve">scientific knowledge, of asking relentlessly questions about and of powerful people and the ability </w:t>
      </w:r>
      <w:r w:rsidR="000A10E0">
        <w:rPr>
          <w:rFonts w:cstheme="minorHAnsi"/>
          <w:i/>
          <w:lang w:val="en-US"/>
        </w:rPr>
        <w:t xml:space="preserve">by leaders </w:t>
      </w:r>
      <w:r w:rsidRPr="00D43634">
        <w:rPr>
          <w:rFonts w:cstheme="minorHAnsi"/>
          <w:i/>
          <w:lang w:val="en-US"/>
        </w:rPr>
        <w:t>to deal with this interrogation, especially when done with respect.</w:t>
      </w:r>
    </w:p>
    <w:p w:rsidR="007A2483" w:rsidRDefault="00574846" w:rsidP="00574846">
      <w:pPr>
        <w:spacing w:line="240" w:lineRule="auto"/>
        <w:ind w:left="720"/>
        <w:rPr>
          <w:rFonts w:cstheme="minorHAnsi"/>
          <w:lang w:val="en-US"/>
        </w:rPr>
      </w:pPr>
      <w:r w:rsidRPr="00574846">
        <w:rPr>
          <w:rFonts w:cstheme="minorHAnsi"/>
          <w:lang w:val="en-US"/>
        </w:rPr>
        <w:t>Collaboration</w:t>
      </w:r>
      <w:r w:rsidR="00D43634">
        <w:rPr>
          <w:rFonts w:cstheme="minorHAnsi"/>
          <w:lang w:val="en-US"/>
        </w:rPr>
        <w:t xml:space="preserve">  </w:t>
      </w:r>
    </w:p>
    <w:p w:rsidR="00574846" w:rsidRPr="00574846" w:rsidRDefault="00D43634" w:rsidP="007A2483">
      <w:pPr>
        <w:spacing w:line="240" w:lineRule="auto"/>
        <w:ind w:left="1440"/>
        <w:rPr>
          <w:rFonts w:cstheme="minorHAnsi"/>
          <w:lang w:val="en-US"/>
        </w:rPr>
      </w:pPr>
      <w:r w:rsidRPr="007A2483">
        <w:rPr>
          <w:rFonts w:cstheme="minorHAnsi"/>
          <w:i/>
          <w:lang w:val="en-US"/>
        </w:rPr>
        <w:t xml:space="preserve">This is about team work, forming liasions, working partnerships that do not threaten any independence of the </w:t>
      </w:r>
      <w:r w:rsidR="007A2483" w:rsidRPr="007A2483">
        <w:rPr>
          <w:rFonts w:cstheme="minorHAnsi"/>
          <w:i/>
          <w:lang w:val="en-US"/>
        </w:rPr>
        <w:t>partners;</w:t>
      </w:r>
      <w:r w:rsidRPr="007A2483">
        <w:rPr>
          <w:rFonts w:cstheme="minorHAnsi"/>
          <w:i/>
          <w:lang w:val="en-US"/>
        </w:rPr>
        <w:t xml:space="preserve"> in fact it embraces democracy and the absence of feeling threatened by </w:t>
      </w:r>
      <w:proofErr w:type="spellStart"/>
      <w:r w:rsidR="000A10E0">
        <w:rPr>
          <w:rFonts w:cstheme="minorHAnsi"/>
          <w:i/>
          <w:lang w:val="en-US"/>
        </w:rPr>
        <w:t>cooperations</w:t>
      </w:r>
      <w:proofErr w:type="spellEnd"/>
      <w:r w:rsidR="000A10E0">
        <w:rPr>
          <w:rFonts w:cstheme="minorHAnsi"/>
          <w:i/>
          <w:lang w:val="en-US"/>
        </w:rPr>
        <w:t xml:space="preserve"> that </w:t>
      </w:r>
      <w:r w:rsidRPr="007A2483">
        <w:rPr>
          <w:rFonts w:cstheme="minorHAnsi"/>
          <w:i/>
          <w:lang w:val="en-US"/>
        </w:rPr>
        <w:t>democracy d</w:t>
      </w:r>
      <w:r w:rsidR="007A2483">
        <w:rPr>
          <w:rFonts w:cstheme="minorHAnsi"/>
          <w:i/>
          <w:lang w:val="en-US"/>
        </w:rPr>
        <w:t>e</w:t>
      </w:r>
      <w:r w:rsidRPr="007A2483">
        <w:rPr>
          <w:rFonts w:cstheme="minorHAnsi"/>
          <w:i/>
          <w:lang w:val="en-US"/>
        </w:rPr>
        <w:t>mands</w:t>
      </w:r>
      <w:r>
        <w:rPr>
          <w:rFonts w:cstheme="minorHAnsi"/>
          <w:lang w:val="en-US"/>
        </w:rPr>
        <w:t>.</w:t>
      </w:r>
    </w:p>
    <w:p w:rsidR="007A2483" w:rsidRDefault="00574846" w:rsidP="00574846">
      <w:pPr>
        <w:spacing w:line="240" w:lineRule="auto"/>
        <w:ind w:left="720"/>
        <w:rPr>
          <w:rFonts w:cstheme="minorHAnsi"/>
          <w:lang w:val="en-US"/>
        </w:rPr>
      </w:pPr>
      <w:r w:rsidRPr="00574846">
        <w:rPr>
          <w:rFonts w:cstheme="minorHAnsi"/>
          <w:lang w:val="en-US"/>
        </w:rPr>
        <w:t xml:space="preserve">Health </w:t>
      </w:r>
      <w:r w:rsidR="00D43634">
        <w:rPr>
          <w:rFonts w:cstheme="minorHAnsi"/>
          <w:lang w:val="en-US"/>
        </w:rPr>
        <w:t xml:space="preserve"> </w:t>
      </w:r>
    </w:p>
    <w:p w:rsidR="00574846" w:rsidRDefault="007A2483" w:rsidP="007A2483">
      <w:pPr>
        <w:spacing w:line="240" w:lineRule="auto"/>
        <w:ind w:left="1440"/>
        <w:rPr>
          <w:rFonts w:cstheme="minorHAnsi"/>
          <w:i/>
          <w:lang w:val="en-US"/>
        </w:rPr>
      </w:pPr>
      <w:r>
        <w:rPr>
          <w:rFonts w:cstheme="minorHAnsi"/>
          <w:i/>
          <w:lang w:val="en-US"/>
        </w:rPr>
        <w:t>The</w:t>
      </w:r>
      <w:r w:rsidR="00D43634" w:rsidRPr="00D43634">
        <w:rPr>
          <w:rFonts w:cstheme="minorHAnsi"/>
          <w:i/>
          <w:lang w:val="en-US"/>
        </w:rPr>
        <w:t xml:space="preserve"> conference theme: that refers to the ease of access and equal access to quality health care, especially </w:t>
      </w:r>
      <w:r w:rsidR="000A10E0">
        <w:rPr>
          <w:rFonts w:cstheme="minorHAnsi"/>
          <w:i/>
          <w:lang w:val="en-US"/>
        </w:rPr>
        <w:t>for</w:t>
      </w:r>
      <w:r w:rsidR="00D43634" w:rsidRPr="00D43634">
        <w:rPr>
          <w:rFonts w:cstheme="minorHAnsi"/>
          <w:i/>
          <w:lang w:val="en-US"/>
        </w:rPr>
        <w:t xml:space="preserve"> the young, d</w:t>
      </w:r>
      <w:r>
        <w:rPr>
          <w:rFonts w:cstheme="minorHAnsi"/>
          <w:i/>
          <w:lang w:val="en-US"/>
        </w:rPr>
        <w:t>isadvantaged and those whose lives</w:t>
      </w:r>
      <w:r w:rsidR="00D43634" w:rsidRPr="00D43634">
        <w:rPr>
          <w:rFonts w:cstheme="minorHAnsi"/>
          <w:i/>
          <w:lang w:val="en-US"/>
        </w:rPr>
        <w:t xml:space="preserve"> have reduced their opportunities to live healthy lives.</w:t>
      </w:r>
    </w:p>
    <w:p w:rsidR="00D43634" w:rsidRDefault="00D43634" w:rsidP="007A2483">
      <w:pPr>
        <w:rPr>
          <w:lang w:val="en-US"/>
        </w:rPr>
      </w:pPr>
      <w:r w:rsidRPr="007A2483">
        <w:rPr>
          <w:lang w:val="en-US"/>
        </w:rPr>
        <w:lastRenderedPageBreak/>
        <w:t>For teachers it is important to be informed about the micro moments of how they relate to each and every child with care, that they become friends of their intelligence and imagination, their dreams and ambitions</w:t>
      </w:r>
      <w:r w:rsidR="007A2483" w:rsidRPr="007A2483">
        <w:rPr>
          <w:lang w:val="en-US"/>
        </w:rPr>
        <w:t xml:space="preserve"> so that this moment with you the teacher delivers the resilience that is key to survival in the face of other fast approaching crises.</w:t>
      </w:r>
    </w:p>
    <w:p w:rsidR="007A2483" w:rsidRDefault="007A2483" w:rsidP="007A2483">
      <w:pPr>
        <w:rPr>
          <w:lang w:val="en-US"/>
        </w:rPr>
      </w:pPr>
      <w:r>
        <w:rPr>
          <w:lang w:val="en-US"/>
        </w:rPr>
        <w:t>It  means that all have to keep in mind what we learned during covid, not just in US or Ireland or Greece: that relationships of care are the central experiences of life; tha</w:t>
      </w:r>
      <w:r w:rsidR="00D2710C">
        <w:rPr>
          <w:lang w:val="en-US"/>
        </w:rPr>
        <w:t xml:space="preserve">t science is key to sorting so </w:t>
      </w:r>
      <w:r>
        <w:rPr>
          <w:lang w:val="en-US"/>
        </w:rPr>
        <w:t xml:space="preserve">many problems; that understanding science is complicated, contested by science and by politics, that vested interests will react in just the same way in the climate crises as they did in the covid years, that fascism and authoritarianism continues to be a threat, that democracy needs to be learned again and again each day, even in a Learning City. </w:t>
      </w:r>
    </w:p>
    <w:p w:rsidR="00D2710C" w:rsidRDefault="00D2710C" w:rsidP="007A2483">
      <w:pPr>
        <w:rPr>
          <w:lang w:val="en-US"/>
        </w:rPr>
      </w:pPr>
      <w:r>
        <w:rPr>
          <w:lang w:val="en-US"/>
        </w:rPr>
        <w:t>For teachers it is also important to keep  in touch with stories, with history, with events, with materials that challenge their students (of all ages) to think and learn and experience through the imagination that there are always more hopeful options for the future and different to those recounted by Primo Levi.</w:t>
      </w:r>
    </w:p>
    <w:p w:rsidR="006109AA" w:rsidRDefault="007206F9">
      <w:r w:rsidRPr="007206F9">
        <w:rPr>
          <w:b/>
        </w:rPr>
        <w:t>References</w:t>
      </w:r>
    </w:p>
    <w:p w:rsidR="006A3C45" w:rsidRPr="003D15F6" w:rsidRDefault="00B059E2" w:rsidP="006A3C45">
      <w:pPr>
        <w:rPr>
          <w:rFonts w:cstheme="minorHAnsi"/>
        </w:rPr>
      </w:pPr>
      <w:r w:rsidRPr="003D15F6">
        <w:t xml:space="preserve">(ACE), </w:t>
      </w:r>
      <w:r w:rsidR="007206F9" w:rsidRPr="003D15F6">
        <w:t>Adverse Childhood Experi</w:t>
      </w:r>
      <w:r w:rsidRPr="003D15F6">
        <w:t>e</w:t>
      </w:r>
      <w:r w:rsidR="007206F9" w:rsidRPr="003D15F6">
        <w:t>nces</w:t>
      </w:r>
      <w:r w:rsidR="00885E3C" w:rsidRPr="003D15F6">
        <w:t>, (2019)</w:t>
      </w:r>
      <w:r w:rsidR="00AA3524">
        <w:t xml:space="preserve">. </w:t>
      </w:r>
      <w:proofErr w:type="gramStart"/>
      <w:r w:rsidR="00AA3524">
        <w:t>Accessed October 12, 2021.</w:t>
      </w:r>
      <w:proofErr w:type="gramEnd"/>
      <w:r w:rsidR="00AA3524">
        <w:t xml:space="preserve"> </w:t>
      </w:r>
      <w:r w:rsidR="007206F9" w:rsidRPr="003D15F6">
        <w:t xml:space="preserve"> </w:t>
      </w:r>
      <w:hyperlink r:id="rId10" w:history="1">
        <w:r w:rsidR="006109AA" w:rsidRPr="003D15F6">
          <w:rPr>
            <w:rStyle w:val="Hyperlink"/>
          </w:rPr>
          <w:t>http://adversechildhoodexperiences.net/</w:t>
        </w:r>
      </w:hyperlink>
      <w:r w:rsidR="006A3C45" w:rsidRPr="003D15F6">
        <w:rPr>
          <w:rFonts w:cstheme="minorHAnsi"/>
        </w:rPr>
        <w:t xml:space="preserve"> </w:t>
      </w:r>
    </w:p>
    <w:p w:rsidR="003D15F6" w:rsidRDefault="003D15F6" w:rsidP="003D15F6">
      <w:pPr>
        <w:rPr>
          <w:rFonts w:cstheme="minorHAnsi"/>
        </w:rPr>
      </w:pPr>
      <w:r w:rsidRPr="003D15F6">
        <w:rPr>
          <w:rFonts w:cstheme="minorHAnsi"/>
        </w:rPr>
        <w:t xml:space="preserve">Ackerman, C. </w:t>
      </w:r>
      <w:r w:rsidR="00AE0F74">
        <w:rPr>
          <w:rFonts w:cstheme="minorHAnsi"/>
        </w:rPr>
        <w:t xml:space="preserve">(2021). </w:t>
      </w:r>
      <w:r w:rsidRPr="003D15F6">
        <w:rPr>
          <w:rFonts w:cstheme="minorHAnsi"/>
        </w:rPr>
        <w:t xml:space="preserve">How </w:t>
      </w:r>
      <w:r>
        <w:rPr>
          <w:rFonts w:cstheme="minorHAnsi"/>
        </w:rPr>
        <w:t>t</w:t>
      </w:r>
      <w:r w:rsidRPr="003D15F6">
        <w:rPr>
          <w:rFonts w:cstheme="minorHAnsi"/>
        </w:rPr>
        <w:t xml:space="preserve">o </w:t>
      </w:r>
      <w:r>
        <w:rPr>
          <w:rFonts w:cstheme="minorHAnsi"/>
        </w:rPr>
        <w:t>m</w:t>
      </w:r>
      <w:r w:rsidRPr="003D15F6">
        <w:rPr>
          <w:rFonts w:cstheme="minorHAnsi"/>
        </w:rPr>
        <w:t xml:space="preserve">easure </w:t>
      </w:r>
      <w:r>
        <w:rPr>
          <w:rFonts w:cstheme="minorHAnsi"/>
        </w:rPr>
        <w:t>r</w:t>
      </w:r>
      <w:r w:rsidRPr="003D15F6">
        <w:rPr>
          <w:rFonts w:cstheme="minorHAnsi"/>
        </w:rPr>
        <w:t xml:space="preserve">esilience </w:t>
      </w:r>
      <w:r>
        <w:rPr>
          <w:rFonts w:cstheme="minorHAnsi"/>
        </w:rPr>
        <w:t>w</w:t>
      </w:r>
      <w:r w:rsidRPr="003D15F6">
        <w:rPr>
          <w:rFonts w:cstheme="minorHAnsi"/>
        </w:rPr>
        <w:t xml:space="preserve">ith </w:t>
      </w:r>
      <w:r>
        <w:rPr>
          <w:rFonts w:cstheme="minorHAnsi"/>
        </w:rPr>
        <w:t>t</w:t>
      </w:r>
      <w:r w:rsidRPr="003D15F6">
        <w:rPr>
          <w:rFonts w:cstheme="minorHAnsi"/>
        </w:rPr>
        <w:t xml:space="preserve">hese </w:t>
      </w:r>
      <w:r w:rsidR="007A2483">
        <w:rPr>
          <w:rFonts w:cstheme="minorHAnsi"/>
        </w:rPr>
        <w:t xml:space="preserve">eight </w:t>
      </w:r>
      <w:r>
        <w:rPr>
          <w:rFonts w:cstheme="minorHAnsi"/>
        </w:rPr>
        <w:t>r</w:t>
      </w:r>
      <w:r w:rsidRPr="003D15F6">
        <w:rPr>
          <w:rFonts w:cstheme="minorHAnsi"/>
        </w:rPr>
        <w:t xml:space="preserve">esilience </w:t>
      </w:r>
      <w:r>
        <w:rPr>
          <w:rFonts w:cstheme="minorHAnsi"/>
        </w:rPr>
        <w:t>s</w:t>
      </w:r>
      <w:r w:rsidR="007A2483">
        <w:rPr>
          <w:rFonts w:cstheme="minorHAnsi"/>
        </w:rPr>
        <w:t xml:space="preserve">cales. </w:t>
      </w:r>
      <w:r w:rsidRPr="003D15F6">
        <w:rPr>
          <w:rFonts w:cstheme="minorHAnsi"/>
        </w:rPr>
        <w:t>Accessed October 12, 2021.</w:t>
      </w:r>
      <w:r>
        <w:rPr>
          <w:rFonts w:cstheme="minorHAnsi"/>
          <w:b/>
        </w:rPr>
        <w:t xml:space="preserve"> </w:t>
      </w:r>
      <w:hyperlink r:id="rId11" w:anchor=":~:text=The%20PR6%20measures%20resilience%20as%20a%20function%20of,of%20resilience%20as%20well%20as%20health%20hygiene%20scores" w:history="1">
        <w:r w:rsidR="007A2483" w:rsidRPr="00AA79FC">
          <w:rPr>
            <w:rStyle w:val="Hyperlink"/>
            <w:rFonts w:cstheme="minorHAnsi"/>
          </w:rPr>
          <w:t>https://positivepsychology.com/3-resilience-scales/#:~:text=The%20PR6%20measures%20resilience%20as%20a%20function%20of,of%20resilience%20as%20well%20as%20health%20hygiene%20scores</w:t>
        </w:r>
      </w:hyperlink>
      <w:r w:rsidRPr="003D15F6">
        <w:rPr>
          <w:rFonts w:cstheme="minorHAnsi"/>
        </w:rPr>
        <w:t>.</w:t>
      </w:r>
    </w:p>
    <w:p w:rsidR="006A3C45" w:rsidRDefault="006A3C45" w:rsidP="00885E3C">
      <w:pPr>
        <w:rPr>
          <w:rFonts w:cstheme="minorHAnsi"/>
          <w:lang w:val="en-US"/>
        </w:rPr>
      </w:pPr>
      <w:r w:rsidRPr="00617460">
        <w:rPr>
          <w:rFonts w:cstheme="minorHAnsi"/>
        </w:rPr>
        <w:t>Atwool</w:t>
      </w:r>
      <w:r>
        <w:rPr>
          <w:rFonts w:cstheme="minorHAnsi"/>
        </w:rPr>
        <w:t xml:space="preserve">, N. (2006). </w:t>
      </w:r>
      <w:r w:rsidRPr="00617460">
        <w:rPr>
          <w:rFonts w:cstheme="minorHAnsi"/>
        </w:rPr>
        <w:t xml:space="preserve">Attachment and </w:t>
      </w:r>
      <w:r>
        <w:rPr>
          <w:rFonts w:cstheme="minorHAnsi"/>
        </w:rPr>
        <w:t>r</w:t>
      </w:r>
      <w:r w:rsidRPr="00617460">
        <w:rPr>
          <w:rFonts w:cstheme="minorHAnsi"/>
        </w:rPr>
        <w:t>esilience:</w:t>
      </w:r>
      <w:r>
        <w:rPr>
          <w:rFonts w:cstheme="minorHAnsi"/>
        </w:rPr>
        <w:t xml:space="preserve">  </w:t>
      </w:r>
      <w:r w:rsidRPr="00617460">
        <w:rPr>
          <w:rFonts w:cstheme="minorHAnsi"/>
        </w:rPr>
        <w:t xml:space="preserve">Implications for </w:t>
      </w:r>
      <w:r>
        <w:rPr>
          <w:rFonts w:cstheme="minorHAnsi"/>
        </w:rPr>
        <w:t>c</w:t>
      </w:r>
      <w:r w:rsidRPr="00617460">
        <w:rPr>
          <w:rFonts w:cstheme="minorHAnsi"/>
        </w:rPr>
        <w:t xml:space="preserve">hildren in </w:t>
      </w:r>
      <w:r>
        <w:rPr>
          <w:rFonts w:cstheme="minorHAnsi"/>
        </w:rPr>
        <w:t>c</w:t>
      </w:r>
      <w:r w:rsidRPr="00617460">
        <w:rPr>
          <w:rFonts w:cstheme="minorHAnsi"/>
        </w:rPr>
        <w:t>are</w:t>
      </w:r>
      <w:r>
        <w:rPr>
          <w:rFonts w:cstheme="minorHAnsi"/>
        </w:rPr>
        <w:t xml:space="preserve">.  </w:t>
      </w:r>
      <w:r w:rsidRPr="00617460">
        <w:rPr>
          <w:rFonts w:cstheme="minorHAnsi"/>
          <w:i/>
          <w:lang w:val="en-US"/>
        </w:rPr>
        <w:t>Child Care in Practice, 12(</w:t>
      </w:r>
      <w:r w:rsidRPr="00617460">
        <w:rPr>
          <w:rFonts w:cstheme="minorHAnsi"/>
          <w:lang w:val="en-US"/>
        </w:rPr>
        <w:t>4</w:t>
      </w:r>
      <w:r>
        <w:rPr>
          <w:rFonts w:cstheme="minorHAnsi"/>
          <w:lang w:val="en-US"/>
        </w:rPr>
        <w:t>)</w:t>
      </w:r>
      <w:r w:rsidRPr="00617460">
        <w:rPr>
          <w:rFonts w:cstheme="minorHAnsi"/>
          <w:lang w:val="en-US"/>
        </w:rPr>
        <w:t>, 315</w:t>
      </w:r>
      <w:r>
        <w:rPr>
          <w:rFonts w:cstheme="minorHAnsi"/>
          <w:lang w:val="en-US"/>
        </w:rPr>
        <w:t>-</w:t>
      </w:r>
      <w:r w:rsidRPr="00617460">
        <w:rPr>
          <w:rFonts w:cstheme="minorHAnsi"/>
          <w:lang w:val="en-US"/>
        </w:rPr>
        <w:t>330</w:t>
      </w:r>
      <w:r>
        <w:rPr>
          <w:rFonts w:cstheme="minorHAnsi"/>
          <w:lang w:val="en-US"/>
        </w:rPr>
        <w:t xml:space="preserve">. </w:t>
      </w:r>
    </w:p>
    <w:p w:rsidR="00885E3C" w:rsidRPr="00885E3C" w:rsidRDefault="00885E3C" w:rsidP="00885E3C">
      <w:r w:rsidRPr="00885E3C">
        <w:t xml:space="preserve">Bowlby, J. (1969). </w:t>
      </w:r>
      <w:r w:rsidRPr="00885E3C">
        <w:rPr>
          <w:i/>
          <w:iCs/>
        </w:rPr>
        <w:t xml:space="preserve">Attachment and Loss Vol 1: Attachment. </w:t>
      </w:r>
      <w:r w:rsidRPr="00885E3C">
        <w:t>New York: Basic Books.</w:t>
      </w:r>
    </w:p>
    <w:p w:rsidR="00885E3C" w:rsidRPr="00885E3C" w:rsidRDefault="00885E3C" w:rsidP="00885E3C">
      <w:r w:rsidRPr="00885E3C">
        <w:lastRenderedPageBreak/>
        <w:t xml:space="preserve">Bowlby, J. (1973). </w:t>
      </w:r>
      <w:r w:rsidRPr="00885E3C">
        <w:rPr>
          <w:i/>
          <w:iCs/>
        </w:rPr>
        <w:t>Attachment and Loss Vol 2: Separation, anxiety and anger.</w:t>
      </w:r>
      <w:r w:rsidRPr="00885E3C">
        <w:t xml:space="preserve"> New York: Basic Books.</w:t>
      </w:r>
    </w:p>
    <w:p w:rsidR="007206F9" w:rsidRDefault="00885E3C">
      <w:r>
        <w:t xml:space="preserve">(CDC) </w:t>
      </w:r>
      <w:r w:rsidR="00B059E2">
        <w:t xml:space="preserve">Centre for </w:t>
      </w:r>
      <w:r>
        <w:t>D</w:t>
      </w:r>
      <w:r w:rsidR="00B059E2">
        <w:t xml:space="preserve">isease Control </w:t>
      </w:r>
      <w:r>
        <w:t xml:space="preserve">and Prevention </w:t>
      </w:r>
      <w:r w:rsidR="00B059E2">
        <w:t xml:space="preserve">(2006). </w:t>
      </w:r>
      <w:hyperlink r:id="rId12" w:history="1">
        <w:r w:rsidR="007206F9" w:rsidRPr="00BC4228">
          <w:rPr>
            <w:rStyle w:val="Hyperlink"/>
          </w:rPr>
          <w:t>https://www.traumainformedcare.chcs.org/resource/original-ace-questionnaire/</w:t>
        </w:r>
      </w:hyperlink>
    </w:p>
    <w:p w:rsidR="006A3C45" w:rsidRDefault="006A3C45">
      <w:pPr>
        <w:rPr>
          <w:bCs/>
          <w:color w:val="000000"/>
        </w:rPr>
      </w:pPr>
      <w:proofErr w:type="gramStart"/>
      <w:r>
        <w:t>Egeland, B.</w:t>
      </w:r>
      <w:r w:rsidR="00AA3524">
        <w:t>,</w:t>
      </w:r>
      <w:r>
        <w:t xml:space="preserve"> Carlson, E.</w:t>
      </w:r>
      <w:r w:rsidR="00AA3524">
        <w:t>,</w:t>
      </w:r>
      <w:r>
        <w:t xml:space="preserve"> &amp; </w:t>
      </w:r>
      <w:proofErr w:type="spellStart"/>
      <w:r>
        <w:t>Sroufe</w:t>
      </w:r>
      <w:proofErr w:type="spellEnd"/>
      <w:r>
        <w:t>, L.A</w:t>
      </w:r>
      <w:r w:rsidR="00AA3524">
        <w:t>.</w:t>
      </w:r>
      <w:r>
        <w:t xml:space="preserve"> (1993).</w:t>
      </w:r>
      <w:proofErr w:type="gramEnd"/>
      <w:r>
        <w:t xml:space="preserve"> Resilience as a process. </w:t>
      </w:r>
      <w:r w:rsidRPr="006A3C45">
        <w:rPr>
          <w:bCs/>
          <w:i/>
          <w:color w:val="000000"/>
        </w:rPr>
        <w:t>Development and Psychopathology,</w:t>
      </w:r>
      <w:r>
        <w:rPr>
          <w:bCs/>
          <w:i/>
          <w:color w:val="000000"/>
        </w:rPr>
        <w:t xml:space="preserve"> 5</w:t>
      </w:r>
      <w:r w:rsidRPr="006A3C45">
        <w:rPr>
          <w:bCs/>
          <w:color w:val="000000"/>
        </w:rPr>
        <w:t>(4),</w:t>
      </w:r>
      <w:r>
        <w:rPr>
          <w:bCs/>
          <w:color w:val="000000"/>
        </w:rPr>
        <w:t xml:space="preserve"> 517-528. </w:t>
      </w:r>
    </w:p>
    <w:p w:rsidR="006A3C45" w:rsidRDefault="006A3C45" w:rsidP="00574846">
      <w:pPr>
        <w:rPr>
          <w:rStyle w:val="Hyperlink"/>
          <w:i/>
          <w:iCs/>
        </w:rPr>
      </w:pPr>
      <w:proofErr w:type="gramStart"/>
      <w:r w:rsidRPr="00DC7CA0">
        <w:t>Felitti, V</w:t>
      </w:r>
      <w:r w:rsidR="00AA3524">
        <w:t>.</w:t>
      </w:r>
      <w:r w:rsidRPr="00DC7CA0">
        <w:t>J</w:t>
      </w:r>
      <w:r w:rsidR="00AA3524">
        <w:t>.</w:t>
      </w:r>
      <w:r w:rsidRPr="00DC7CA0">
        <w:t xml:space="preserve">, </w:t>
      </w:r>
      <w:proofErr w:type="spellStart"/>
      <w:r w:rsidRPr="00DC7CA0">
        <w:t>Anda</w:t>
      </w:r>
      <w:proofErr w:type="spellEnd"/>
      <w:r w:rsidR="00AA3524">
        <w:t>,</w:t>
      </w:r>
      <w:r w:rsidRPr="00DC7CA0">
        <w:t xml:space="preserve"> R.F., Nordenberg, D., Williamson, D.F., Spitz, A.M., Edwards, V., Koss, M.P., &amp; Marks, J.S. (1998).</w:t>
      </w:r>
      <w:proofErr w:type="gramEnd"/>
      <w:r w:rsidRPr="00DC7CA0">
        <w:t xml:space="preserve"> Relationship of childhood abuse and household dysfunction to many of the leading causes of death in adults. </w:t>
      </w:r>
      <w:r w:rsidRPr="00DC7CA0">
        <w:rPr>
          <w:i/>
          <w:iCs/>
        </w:rPr>
        <w:t xml:space="preserve">American Journal of Preventive Medicine, </w:t>
      </w:r>
      <w:r w:rsidRPr="00AA3524">
        <w:rPr>
          <w:i/>
        </w:rPr>
        <w:t>14</w:t>
      </w:r>
      <w:r w:rsidRPr="00DC7CA0">
        <w:t>, 245–258.</w:t>
      </w:r>
      <w:r w:rsidRPr="00DC7CA0">
        <w:rPr>
          <w:rStyle w:val="HTMLCite"/>
        </w:rPr>
        <w:t xml:space="preserve"> </w:t>
      </w:r>
      <w:hyperlink r:id="rId13" w:tooltip="Doi (identifier)" w:history="1">
        <w:proofErr w:type="gramStart"/>
        <w:r w:rsidRPr="00574846">
          <w:rPr>
            <w:rStyle w:val="Hyperlink"/>
            <w:i/>
            <w:iCs/>
          </w:rPr>
          <w:t>doi</w:t>
        </w:r>
        <w:proofErr w:type="gramEnd"/>
      </w:hyperlink>
      <w:r w:rsidRPr="00574846">
        <w:rPr>
          <w:rStyle w:val="HTMLCite"/>
          <w:i w:val="0"/>
        </w:rPr>
        <w:t>:</w:t>
      </w:r>
      <w:hyperlink r:id="rId14" w:history="1">
        <w:r w:rsidRPr="00574846">
          <w:rPr>
            <w:rStyle w:val="Hyperlink"/>
            <w:i/>
            <w:iCs/>
          </w:rPr>
          <w:t>10.1016/S0749-3797(98)00017-8</w:t>
        </w:r>
      </w:hyperlink>
    </w:p>
    <w:p w:rsidR="00AA3524" w:rsidRDefault="00AA3524" w:rsidP="00AA3524">
      <w:r>
        <w:t xml:space="preserve">Fleming, G. (2020). </w:t>
      </w:r>
      <w:proofErr w:type="gramStart"/>
      <w:r w:rsidRPr="00602FFA">
        <w:t>Clinical psychologists’ usage and experiences of psychoanalysis and psychoanalytically-informed approaches within the NHS.</w:t>
      </w:r>
      <w:proofErr w:type="gramEnd"/>
      <w:r>
        <w:t xml:space="preserve">  </w:t>
      </w:r>
      <w:proofErr w:type="gramStart"/>
      <w:r>
        <w:t>Unpublished Doctoral Thesis at the University of East London.</w:t>
      </w:r>
      <w:proofErr w:type="gramEnd"/>
      <w:r>
        <w:t xml:space="preserve"> </w:t>
      </w:r>
    </w:p>
    <w:p w:rsidR="00AA3524" w:rsidRDefault="00574846" w:rsidP="00AA3524">
      <w:pPr>
        <w:rPr>
          <w:rFonts w:cstheme="minorHAnsi"/>
        </w:rPr>
      </w:pPr>
      <w:proofErr w:type="gramStart"/>
      <w:r w:rsidRPr="00574846">
        <w:rPr>
          <w:rFonts w:cstheme="minorHAnsi"/>
        </w:rPr>
        <w:t>Fleming, T. (2007).</w:t>
      </w:r>
      <w:proofErr w:type="gramEnd"/>
      <w:r w:rsidRPr="00574846">
        <w:rPr>
          <w:rFonts w:cstheme="minorHAnsi"/>
        </w:rPr>
        <w:t xml:space="preserve"> </w:t>
      </w:r>
      <w:proofErr w:type="gramStart"/>
      <w:r w:rsidRPr="00574846">
        <w:rPr>
          <w:rFonts w:cstheme="minorHAnsi"/>
        </w:rPr>
        <w:t>Picking wild orchids and windflowers: Attachm</w:t>
      </w:r>
      <w:r w:rsidR="00AA3524">
        <w:rPr>
          <w:rFonts w:cstheme="minorHAnsi"/>
        </w:rPr>
        <w:t>ent theory and adult education.</w:t>
      </w:r>
      <w:proofErr w:type="gramEnd"/>
      <w:r w:rsidRPr="00574846">
        <w:rPr>
          <w:rFonts w:cstheme="minorHAnsi"/>
        </w:rPr>
        <w:t xml:space="preserve"> In B. Connolly, T. Fleming, D. McCormack &amp; A. Ryan, (Eds.), </w:t>
      </w:r>
      <w:r w:rsidRPr="00574846">
        <w:rPr>
          <w:rFonts w:cstheme="minorHAnsi"/>
          <w:i/>
          <w:iCs/>
        </w:rPr>
        <w:t>Radical Learning for Liberation 2</w:t>
      </w:r>
      <w:r w:rsidRPr="00574846">
        <w:rPr>
          <w:rFonts w:cstheme="minorHAnsi"/>
        </w:rPr>
        <w:t xml:space="preserve">, (pp. 79-94). </w:t>
      </w:r>
      <w:proofErr w:type="spellStart"/>
      <w:r w:rsidRPr="00574846">
        <w:rPr>
          <w:rFonts w:cstheme="minorHAnsi"/>
        </w:rPr>
        <w:t>Maynooth</w:t>
      </w:r>
      <w:proofErr w:type="spellEnd"/>
      <w:r w:rsidRPr="00574846">
        <w:rPr>
          <w:rFonts w:cstheme="minorHAnsi"/>
        </w:rPr>
        <w:t>: DACE.</w:t>
      </w:r>
      <w:r w:rsidR="00AA3524" w:rsidRPr="00AA3524">
        <w:rPr>
          <w:rFonts w:cstheme="minorHAnsi"/>
        </w:rPr>
        <w:t xml:space="preserve"> </w:t>
      </w:r>
    </w:p>
    <w:p w:rsidR="00AA3524" w:rsidRDefault="00AA3524" w:rsidP="00AA3524">
      <w:pPr>
        <w:rPr>
          <w:rFonts w:cstheme="minorHAnsi"/>
        </w:rPr>
      </w:pPr>
      <w:proofErr w:type="gramStart"/>
      <w:r>
        <w:rPr>
          <w:rFonts w:cstheme="minorHAnsi"/>
        </w:rPr>
        <w:t>F</w:t>
      </w:r>
      <w:r w:rsidRPr="00574846">
        <w:rPr>
          <w:rFonts w:cstheme="minorHAnsi"/>
        </w:rPr>
        <w:t>leming, T. (2008).</w:t>
      </w:r>
      <w:proofErr w:type="gramEnd"/>
      <w:r w:rsidRPr="00574846">
        <w:rPr>
          <w:rFonts w:cstheme="minorHAnsi"/>
        </w:rPr>
        <w:t xml:space="preserve"> A secure base for adult learning: Attachment theory and adult education. </w:t>
      </w:r>
      <w:r w:rsidRPr="00574846">
        <w:rPr>
          <w:rFonts w:cstheme="minorHAnsi"/>
          <w:i/>
          <w:iCs/>
        </w:rPr>
        <w:t>The Adult Learner</w:t>
      </w:r>
      <w:r>
        <w:rPr>
          <w:rFonts w:cstheme="minorHAnsi"/>
          <w:i/>
          <w:iCs/>
        </w:rPr>
        <w:t>: The Irish Journal of Adult Education</w:t>
      </w:r>
      <w:r w:rsidRPr="00574846">
        <w:rPr>
          <w:rFonts w:cstheme="minorHAnsi"/>
          <w:i/>
          <w:iCs/>
        </w:rPr>
        <w:t xml:space="preserve">, 25, </w:t>
      </w:r>
      <w:r w:rsidRPr="00574846">
        <w:rPr>
          <w:rFonts w:cstheme="minorHAnsi"/>
        </w:rPr>
        <w:t>pp. 33-53.</w:t>
      </w:r>
    </w:p>
    <w:p w:rsidR="00574846" w:rsidRDefault="00574846" w:rsidP="00574846">
      <w:pPr>
        <w:rPr>
          <w:rFonts w:cstheme="minorHAnsi"/>
        </w:rPr>
      </w:pPr>
      <w:proofErr w:type="gramStart"/>
      <w:r w:rsidRPr="00574846">
        <w:rPr>
          <w:rFonts w:cstheme="minorHAnsi"/>
        </w:rPr>
        <w:t>Fleming, T. (2018).</w:t>
      </w:r>
      <w:proofErr w:type="gramEnd"/>
      <w:r w:rsidRPr="00574846">
        <w:rPr>
          <w:rFonts w:cstheme="minorHAnsi"/>
        </w:rPr>
        <w:t xml:space="preserve"> Attachment </w:t>
      </w:r>
      <w:r w:rsidR="00AA3524">
        <w:rPr>
          <w:rFonts w:cstheme="minorHAnsi"/>
        </w:rPr>
        <w:t>t</w:t>
      </w:r>
      <w:r w:rsidRPr="00574846">
        <w:rPr>
          <w:rFonts w:cstheme="minorHAnsi"/>
        </w:rPr>
        <w:t xml:space="preserve">heory and </w:t>
      </w:r>
      <w:r w:rsidR="00AA3524">
        <w:rPr>
          <w:rFonts w:cstheme="minorHAnsi"/>
        </w:rPr>
        <w:t>t</w:t>
      </w:r>
      <w:r w:rsidRPr="00574846">
        <w:rPr>
          <w:rFonts w:cstheme="minorHAnsi"/>
        </w:rPr>
        <w:t xml:space="preserve">ransformative </w:t>
      </w:r>
      <w:r w:rsidR="00AA3524">
        <w:rPr>
          <w:rFonts w:cstheme="minorHAnsi"/>
        </w:rPr>
        <w:t>l</w:t>
      </w:r>
      <w:r w:rsidRPr="00574846">
        <w:rPr>
          <w:rFonts w:cstheme="minorHAnsi"/>
        </w:rPr>
        <w:t xml:space="preserve">earning: Rethinking the </w:t>
      </w:r>
      <w:r w:rsidR="00AA3524">
        <w:rPr>
          <w:rFonts w:cstheme="minorHAnsi"/>
        </w:rPr>
        <w:t>o</w:t>
      </w:r>
      <w:r w:rsidRPr="00574846">
        <w:rPr>
          <w:rFonts w:cstheme="minorHAnsi"/>
        </w:rPr>
        <w:t xml:space="preserve">rigins of </w:t>
      </w:r>
      <w:r w:rsidR="00AA3524">
        <w:rPr>
          <w:rFonts w:cstheme="minorHAnsi"/>
        </w:rPr>
        <w:t>m</w:t>
      </w:r>
      <w:r w:rsidRPr="00574846">
        <w:rPr>
          <w:rFonts w:cstheme="minorHAnsi"/>
        </w:rPr>
        <w:t xml:space="preserve">eaning </w:t>
      </w:r>
      <w:r w:rsidR="00AA3524">
        <w:rPr>
          <w:rFonts w:cstheme="minorHAnsi"/>
        </w:rPr>
        <w:t>m</w:t>
      </w:r>
      <w:r w:rsidRPr="00574846">
        <w:rPr>
          <w:rFonts w:cstheme="minorHAnsi"/>
        </w:rPr>
        <w:t>aking. In M. Welch, V. Marsick</w:t>
      </w:r>
      <w:r w:rsidR="00AA3524">
        <w:rPr>
          <w:rFonts w:cstheme="minorHAnsi"/>
        </w:rPr>
        <w:t>,</w:t>
      </w:r>
      <w:r w:rsidRPr="00574846">
        <w:rPr>
          <w:rFonts w:cstheme="minorHAnsi"/>
        </w:rPr>
        <w:t xml:space="preserve"> &amp;</w:t>
      </w:r>
      <w:r>
        <w:rPr>
          <w:rFonts w:cstheme="minorHAnsi"/>
        </w:rPr>
        <w:t xml:space="preserve"> </w:t>
      </w:r>
      <w:r w:rsidRPr="00574846">
        <w:rPr>
          <w:rFonts w:cstheme="minorHAnsi"/>
        </w:rPr>
        <w:t>D.</w:t>
      </w:r>
      <w:r w:rsidR="007A2483">
        <w:rPr>
          <w:rFonts w:cstheme="minorHAnsi"/>
        </w:rPr>
        <w:t xml:space="preserve"> </w:t>
      </w:r>
      <w:r w:rsidRPr="00574846">
        <w:rPr>
          <w:rFonts w:cstheme="minorHAnsi"/>
        </w:rPr>
        <w:t>Hope (Eds.),</w:t>
      </w:r>
      <w:r w:rsidRPr="00574846">
        <w:rPr>
          <w:rStyle w:val="Emphasis"/>
          <w:rFonts w:cstheme="minorHAnsi"/>
        </w:rPr>
        <w:t xml:space="preserve"> Building transformative community: Proceedings of the</w:t>
      </w:r>
      <w:r>
        <w:rPr>
          <w:rStyle w:val="Emphasis"/>
          <w:rFonts w:cstheme="minorHAnsi"/>
        </w:rPr>
        <w:t xml:space="preserve"> </w:t>
      </w:r>
      <w:r w:rsidRPr="00574846">
        <w:rPr>
          <w:rStyle w:val="Emphasis"/>
          <w:rFonts w:cstheme="minorHAnsi"/>
        </w:rPr>
        <w:t>XII Transformative Learning Conference</w:t>
      </w:r>
      <w:r w:rsidRPr="00574846">
        <w:rPr>
          <w:rFonts w:cstheme="minorHAnsi"/>
        </w:rPr>
        <w:t xml:space="preserve"> (pp. 288-294). New York: Teachers College Columbia University</w:t>
      </w:r>
      <w:r>
        <w:rPr>
          <w:rFonts w:cstheme="minorHAnsi"/>
        </w:rPr>
        <w:t>.</w:t>
      </w:r>
    </w:p>
    <w:p w:rsidR="006109AA" w:rsidRDefault="006109AA">
      <w:pPr>
        <w:rPr>
          <w:rStyle w:val="Hyperlink"/>
          <w:rFonts w:cstheme="minorHAnsi"/>
        </w:rPr>
      </w:pPr>
      <w:proofErr w:type="gramStart"/>
      <w:r w:rsidRPr="006109AA">
        <w:rPr>
          <w:rStyle w:val="markedcontent"/>
          <w:rFonts w:cstheme="minorHAnsi"/>
        </w:rPr>
        <w:lastRenderedPageBreak/>
        <w:t xml:space="preserve">Fleming, J. &amp; </w:t>
      </w:r>
      <w:proofErr w:type="spellStart"/>
      <w:r w:rsidRPr="006109AA">
        <w:rPr>
          <w:rStyle w:val="markedcontent"/>
          <w:rFonts w:cstheme="minorHAnsi"/>
        </w:rPr>
        <w:t>Ledogar</w:t>
      </w:r>
      <w:proofErr w:type="spellEnd"/>
      <w:r w:rsidRPr="006109AA">
        <w:rPr>
          <w:rStyle w:val="markedcontent"/>
          <w:rFonts w:cstheme="minorHAnsi"/>
        </w:rPr>
        <w:t>, R.J. (2008).</w:t>
      </w:r>
      <w:proofErr w:type="gramEnd"/>
      <w:r w:rsidRPr="006109AA">
        <w:rPr>
          <w:rStyle w:val="markedcontent"/>
          <w:rFonts w:cstheme="minorHAnsi"/>
        </w:rPr>
        <w:t xml:space="preserve"> Resilience, an </w:t>
      </w:r>
      <w:r w:rsidR="00AA3524">
        <w:rPr>
          <w:rStyle w:val="markedcontent"/>
          <w:rFonts w:cstheme="minorHAnsi"/>
        </w:rPr>
        <w:t>e</w:t>
      </w:r>
      <w:r w:rsidRPr="006109AA">
        <w:rPr>
          <w:rStyle w:val="markedcontent"/>
          <w:rFonts w:cstheme="minorHAnsi"/>
        </w:rPr>
        <w:t xml:space="preserve">volving </w:t>
      </w:r>
      <w:r w:rsidR="00AA3524">
        <w:rPr>
          <w:rStyle w:val="markedcontent"/>
          <w:rFonts w:cstheme="minorHAnsi"/>
        </w:rPr>
        <w:t>c</w:t>
      </w:r>
      <w:r w:rsidRPr="006109AA">
        <w:rPr>
          <w:rStyle w:val="markedcontent"/>
          <w:rFonts w:cstheme="minorHAnsi"/>
        </w:rPr>
        <w:t xml:space="preserve">oncept: A </w:t>
      </w:r>
      <w:r w:rsidR="00AA3524">
        <w:rPr>
          <w:rStyle w:val="markedcontent"/>
          <w:rFonts w:cstheme="minorHAnsi"/>
        </w:rPr>
        <w:t>r</w:t>
      </w:r>
      <w:r w:rsidRPr="006109AA">
        <w:rPr>
          <w:rStyle w:val="markedcontent"/>
          <w:rFonts w:cstheme="minorHAnsi"/>
        </w:rPr>
        <w:t xml:space="preserve">eview of </w:t>
      </w:r>
      <w:r w:rsidR="00AA3524">
        <w:rPr>
          <w:rStyle w:val="markedcontent"/>
          <w:rFonts w:cstheme="minorHAnsi"/>
        </w:rPr>
        <w:t>l</w:t>
      </w:r>
      <w:r w:rsidRPr="006109AA">
        <w:rPr>
          <w:rStyle w:val="markedcontent"/>
          <w:rFonts w:cstheme="minorHAnsi"/>
        </w:rPr>
        <w:t xml:space="preserve">iterature </w:t>
      </w:r>
      <w:r w:rsidRPr="006109AA">
        <w:rPr>
          <w:rFonts w:cstheme="minorHAnsi"/>
        </w:rPr>
        <w:br/>
      </w:r>
      <w:r w:rsidR="00AA3524">
        <w:rPr>
          <w:rStyle w:val="markedcontent"/>
          <w:rFonts w:cstheme="minorHAnsi"/>
        </w:rPr>
        <w:t>r</w:t>
      </w:r>
      <w:r w:rsidRPr="006109AA">
        <w:rPr>
          <w:rStyle w:val="markedcontent"/>
          <w:rFonts w:cstheme="minorHAnsi"/>
        </w:rPr>
        <w:t xml:space="preserve">elevant to Aboriginal </w:t>
      </w:r>
      <w:r w:rsidR="00AA3524">
        <w:rPr>
          <w:rStyle w:val="markedcontent"/>
          <w:rFonts w:cstheme="minorHAnsi"/>
        </w:rPr>
        <w:t>r</w:t>
      </w:r>
      <w:r w:rsidRPr="006109AA">
        <w:rPr>
          <w:rStyle w:val="markedcontent"/>
          <w:rFonts w:cstheme="minorHAnsi"/>
        </w:rPr>
        <w:t>esearch</w:t>
      </w:r>
      <w:r>
        <w:rPr>
          <w:rStyle w:val="markedcontent"/>
          <w:rFonts w:cstheme="minorHAnsi"/>
        </w:rPr>
        <w:t xml:space="preserve">. </w:t>
      </w:r>
      <w:proofErr w:type="spellStart"/>
      <w:r w:rsidRPr="006109AA">
        <w:rPr>
          <w:rStyle w:val="markedcontent"/>
          <w:rFonts w:cstheme="minorHAnsi"/>
          <w:i/>
        </w:rPr>
        <w:t>Pimatisiwin</w:t>
      </w:r>
      <w:proofErr w:type="spellEnd"/>
      <w:r w:rsidRPr="006109AA">
        <w:rPr>
          <w:rStyle w:val="markedcontent"/>
          <w:rFonts w:cstheme="minorHAnsi"/>
          <w:i/>
        </w:rPr>
        <w:t>, 6</w:t>
      </w:r>
      <w:r w:rsidRPr="006109AA">
        <w:rPr>
          <w:rStyle w:val="markedcontent"/>
          <w:rFonts w:cstheme="minorHAnsi"/>
        </w:rPr>
        <w:t>(2): 7–23</w:t>
      </w:r>
      <w:r>
        <w:rPr>
          <w:rStyle w:val="markedcontent"/>
          <w:rFonts w:cstheme="minorHAnsi"/>
        </w:rPr>
        <w:t xml:space="preserve">. </w:t>
      </w:r>
      <w:r w:rsidRPr="006109AA">
        <w:t xml:space="preserve"> </w:t>
      </w:r>
      <w:hyperlink r:id="rId15" w:history="1">
        <w:r w:rsidRPr="00BC4228">
          <w:rPr>
            <w:rStyle w:val="Hyperlink"/>
            <w:rFonts w:cstheme="minorHAnsi"/>
          </w:rPr>
          <w:t>https://www.ncbi.nlm.nih.gov/pmc/articles/PMC2956753/pdf/nihms387.pdf</w:t>
        </w:r>
      </w:hyperlink>
    </w:p>
    <w:p w:rsidR="00D2710C" w:rsidRDefault="00D2710C" w:rsidP="00D2710C">
      <w:pPr>
        <w:rPr>
          <w:rFonts w:cstheme="minorHAnsi"/>
        </w:rPr>
      </w:pPr>
      <w:r>
        <w:rPr>
          <w:rFonts w:cstheme="minorHAnsi"/>
        </w:rPr>
        <w:t xml:space="preserve">Levi, P. (1959). </w:t>
      </w:r>
      <w:r>
        <w:rPr>
          <w:rFonts w:cstheme="minorHAnsi"/>
          <w:i/>
        </w:rPr>
        <w:t>If this is a man</w:t>
      </w:r>
      <w:r>
        <w:rPr>
          <w:rFonts w:cstheme="minorHAnsi"/>
        </w:rPr>
        <w:t>. New York: The Orion Press.</w:t>
      </w:r>
    </w:p>
    <w:p w:rsidR="00AA3524" w:rsidRDefault="00AA3524" w:rsidP="00D2710C">
      <w:proofErr w:type="spellStart"/>
      <w:proofErr w:type="gramStart"/>
      <w:r>
        <w:t>Masten</w:t>
      </w:r>
      <w:proofErr w:type="spellEnd"/>
      <w:r>
        <w:t>, A. S., &amp;</w:t>
      </w:r>
      <w:r>
        <w:t xml:space="preserve"> </w:t>
      </w:r>
      <w:proofErr w:type="spellStart"/>
      <w:r>
        <w:t>Coatsworth</w:t>
      </w:r>
      <w:proofErr w:type="spellEnd"/>
      <w:r>
        <w:t>, J. D. (1998).</w:t>
      </w:r>
      <w:proofErr w:type="gramEnd"/>
      <w:r>
        <w:t xml:space="preserve"> The d</w:t>
      </w:r>
      <w:r>
        <w:t xml:space="preserve">evelopment of </w:t>
      </w:r>
      <w:r>
        <w:t>c</w:t>
      </w:r>
      <w:r>
        <w:t xml:space="preserve">ompetence in </w:t>
      </w:r>
      <w:proofErr w:type="spellStart"/>
      <w:r>
        <w:t>f</w:t>
      </w:r>
      <w:r>
        <w:t>avorable</w:t>
      </w:r>
      <w:proofErr w:type="spellEnd"/>
      <w:r>
        <w:t xml:space="preserve"> and </w:t>
      </w:r>
      <w:proofErr w:type="spellStart"/>
      <w:r>
        <w:t>u</w:t>
      </w:r>
      <w:r>
        <w:t>nfavorable</w:t>
      </w:r>
      <w:proofErr w:type="spellEnd"/>
      <w:r>
        <w:t xml:space="preserve"> </w:t>
      </w:r>
      <w:r>
        <w:t>e</w:t>
      </w:r>
      <w:r>
        <w:t xml:space="preserve">nvironments: Lessons from </w:t>
      </w:r>
      <w:r>
        <w:t>r</w:t>
      </w:r>
      <w:r>
        <w:t xml:space="preserve">esearch on </w:t>
      </w:r>
      <w:r>
        <w:t>s</w:t>
      </w:r>
      <w:r>
        <w:t xml:space="preserve">uccessful </w:t>
      </w:r>
      <w:r>
        <w:t>c</w:t>
      </w:r>
      <w:r>
        <w:t xml:space="preserve">hildren. </w:t>
      </w:r>
      <w:r w:rsidRPr="00AA3524">
        <w:rPr>
          <w:i/>
        </w:rPr>
        <w:t>American Psychologist, 53</w:t>
      </w:r>
      <w:r>
        <w:t>, 205-220</w:t>
      </w:r>
      <w:r>
        <w:t>.</w:t>
      </w:r>
    </w:p>
    <w:p w:rsidR="00D2710C" w:rsidRPr="00AA3524" w:rsidRDefault="00574846" w:rsidP="00D2710C">
      <w:pPr>
        <w:rPr>
          <w:rStyle w:val="markedcontent"/>
          <w:rFonts w:cstheme="minorHAnsi"/>
        </w:rPr>
      </w:pPr>
      <w:proofErr w:type="spellStart"/>
      <w:proofErr w:type="gramStart"/>
      <w:r w:rsidRPr="00AA3524">
        <w:rPr>
          <w:rFonts w:cstheme="minorHAnsi"/>
        </w:rPr>
        <w:t>Matas</w:t>
      </w:r>
      <w:proofErr w:type="spellEnd"/>
      <w:r w:rsidRPr="00AA3524">
        <w:rPr>
          <w:rFonts w:cstheme="minorHAnsi"/>
        </w:rPr>
        <w:t>, L., Arend, R. A., &amp; Sroufe, L. A. (1978).</w:t>
      </w:r>
      <w:proofErr w:type="gramEnd"/>
      <w:r w:rsidRPr="00AA3524">
        <w:rPr>
          <w:rFonts w:cstheme="minorHAnsi"/>
        </w:rPr>
        <w:t xml:space="preserve"> Continuity of adaptation in the second year: The</w:t>
      </w:r>
      <w:r w:rsidRPr="00AA3524">
        <w:rPr>
          <w:rFonts w:cstheme="minorHAnsi"/>
        </w:rPr>
        <w:br/>
        <w:t xml:space="preserve">relationship between quality of attachment and later competence. </w:t>
      </w:r>
      <w:r w:rsidR="00AA3524" w:rsidRPr="00AA3524">
        <w:rPr>
          <w:rFonts w:cstheme="minorHAnsi"/>
          <w:i/>
        </w:rPr>
        <w:t>Child Development</w:t>
      </w:r>
      <w:proofErr w:type="gramStart"/>
      <w:r w:rsidR="00AA3524" w:rsidRPr="00AA3524">
        <w:rPr>
          <w:rFonts w:cstheme="minorHAnsi"/>
          <w:i/>
        </w:rPr>
        <w:t>,</w:t>
      </w:r>
      <w:r w:rsidRPr="00AA3524">
        <w:rPr>
          <w:rFonts w:cstheme="minorHAnsi"/>
          <w:i/>
        </w:rPr>
        <w:t>47</w:t>
      </w:r>
      <w:proofErr w:type="gramEnd"/>
      <w:r w:rsidRPr="00AA3524">
        <w:rPr>
          <w:rFonts w:cstheme="minorHAnsi"/>
        </w:rPr>
        <w:t>,</w:t>
      </w:r>
      <w:r w:rsidRPr="00AA3524">
        <w:rPr>
          <w:rFonts w:cstheme="minorHAnsi"/>
        </w:rPr>
        <w:br/>
        <w:t>547-556.</w:t>
      </w:r>
      <w:r w:rsidR="00D2710C" w:rsidRPr="00AA3524">
        <w:rPr>
          <w:rStyle w:val="markedcontent"/>
          <w:rFonts w:cstheme="minorHAnsi"/>
        </w:rPr>
        <w:t xml:space="preserve"> </w:t>
      </w:r>
    </w:p>
    <w:p w:rsidR="00D2710C" w:rsidRDefault="00D2710C" w:rsidP="00D2710C">
      <w:pPr>
        <w:rPr>
          <w:rFonts w:cstheme="minorHAnsi"/>
        </w:rPr>
      </w:pPr>
      <w:r>
        <w:rPr>
          <w:rFonts w:cstheme="minorHAnsi"/>
        </w:rPr>
        <w:t xml:space="preserve">Parks, T. (November 5, 2015). The mystery of Primo Levi. </w:t>
      </w:r>
      <w:proofErr w:type="gramStart"/>
      <w:r w:rsidR="00C8565C">
        <w:rPr>
          <w:rFonts w:cstheme="minorHAnsi"/>
          <w:i/>
        </w:rPr>
        <w:t>New York Review of Books.</w:t>
      </w:r>
      <w:proofErr w:type="gramEnd"/>
      <w:r w:rsidR="00C8565C">
        <w:rPr>
          <w:rFonts w:cstheme="minorHAnsi"/>
          <w:i/>
        </w:rPr>
        <w:t xml:space="preserve"> </w:t>
      </w:r>
      <w:proofErr w:type="gramStart"/>
      <w:r w:rsidR="00C8565C" w:rsidRPr="00C8565C">
        <w:rPr>
          <w:rFonts w:cstheme="minorHAnsi"/>
        </w:rPr>
        <w:t>Accessed October 12, 2021</w:t>
      </w:r>
      <w:r w:rsidR="00C8565C">
        <w:rPr>
          <w:rFonts w:cstheme="minorHAnsi"/>
          <w:i/>
        </w:rPr>
        <w:t>.</w:t>
      </w:r>
      <w:proofErr w:type="gramEnd"/>
      <w:r w:rsidR="00C8565C">
        <w:rPr>
          <w:rFonts w:cstheme="minorHAnsi"/>
          <w:i/>
        </w:rPr>
        <w:t xml:space="preserve"> </w:t>
      </w:r>
      <w:hyperlink r:id="rId16" w:history="1">
        <w:r w:rsidRPr="00AA79FC">
          <w:rPr>
            <w:rStyle w:val="Hyperlink"/>
            <w:rFonts w:cstheme="minorHAnsi"/>
          </w:rPr>
          <w:t>https://www.nybooks.com/articles/2015/11/05/mystery-primo-levi/</w:t>
        </w:r>
      </w:hyperlink>
    </w:p>
    <w:p w:rsidR="00D2710C" w:rsidRDefault="00D2710C" w:rsidP="00D2710C">
      <w:pPr>
        <w:rPr>
          <w:rStyle w:val="markedcontent"/>
          <w:rFonts w:cstheme="minorHAnsi"/>
        </w:rPr>
      </w:pPr>
      <w:proofErr w:type="spellStart"/>
      <w:proofErr w:type="gramStart"/>
      <w:r w:rsidRPr="003D15F6">
        <w:rPr>
          <w:rStyle w:val="markedcontent"/>
          <w:rFonts w:cstheme="minorHAnsi"/>
        </w:rPr>
        <w:t>Rossouw</w:t>
      </w:r>
      <w:proofErr w:type="spellEnd"/>
      <w:r>
        <w:rPr>
          <w:rStyle w:val="markedcontent"/>
          <w:rFonts w:cstheme="minorHAnsi"/>
        </w:rPr>
        <w:t>, P.J.</w:t>
      </w:r>
      <w:r w:rsidR="00C8565C">
        <w:rPr>
          <w:rStyle w:val="markedcontent"/>
          <w:rFonts w:cstheme="minorHAnsi"/>
        </w:rPr>
        <w:t>,</w:t>
      </w:r>
      <w:r>
        <w:rPr>
          <w:rStyle w:val="markedcontent"/>
          <w:rFonts w:cstheme="minorHAnsi"/>
        </w:rPr>
        <w:t xml:space="preserve"> &amp; </w:t>
      </w:r>
      <w:proofErr w:type="spellStart"/>
      <w:r w:rsidRPr="003D15F6">
        <w:rPr>
          <w:rStyle w:val="markedcontent"/>
          <w:rFonts w:cstheme="minorHAnsi"/>
        </w:rPr>
        <w:t>Rossouw</w:t>
      </w:r>
      <w:proofErr w:type="spellEnd"/>
      <w:r>
        <w:rPr>
          <w:rStyle w:val="markedcontent"/>
          <w:rFonts w:cstheme="minorHAnsi"/>
        </w:rPr>
        <w:t xml:space="preserve">, J.G. </w:t>
      </w:r>
      <w:r w:rsidRPr="003D15F6">
        <w:rPr>
          <w:rFonts w:cstheme="minorHAnsi"/>
        </w:rPr>
        <w:t>(2016)</w:t>
      </w:r>
      <w:r>
        <w:rPr>
          <w:rFonts w:cstheme="minorHAnsi"/>
        </w:rPr>
        <w:t>.</w:t>
      </w:r>
      <w:proofErr w:type="gramEnd"/>
      <w:r>
        <w:rPr>
          <w:rFonts w:cstheme="minorHAnsi"/>
        </w:rPr>
        <w:t xml:space="preserve"> </w:t>
      </w:r>
      <w:r w:rsidRPr="003D15F6">
        <w:rPr>
          <w:rStyle w:val="markedcontent"/>
          <w:rFonts w:cstheme="minorHAnsi"/>
        </w:rPr>
        <w:t xml:space="preserve">The </w:t>
      </w:r>
      <w:r>
        <w:rPr>
          <w:rStyle w:val="markedcontent"/>
          <w:rFonts w:cstheme="minorHAnsi"/>
        </w:rPr>
        <w:t>p</w:t>
      </w:r>
      <w:r w:rsidRPr="003D15F6">
        <w:rPr>
          <w:rStyle w:val="markedcontent"/>
          <w:rFonts w:cstheme="minorHAnsi"/>
        </w:rPr>
        <w:t xml:space="preserve">redictive 6-Factor </w:t>
      </w:r>
      <w:r>
        <w:rPr>
          <w:rStyle w:val="markedcontent"/>
          <w:rFonts w:cstheme="minorHAnsi"/>
        </w:rPr>
        <w:t>R</w:t>
      </w:r>
      <w:r w:rsidRPr="003D15F6">
        <w:rPr>
          <w:rStyle w:val="markedcontent"/>
          <w:rFonts w:cstheme="minorHAnsi"/>
        </w:rPr>
        <w:t xml:space="preserve">esilience </w:t>
      </w:r>
      <w:r>
        <w:rPr>
          <w:rStyle w:val="markedcontent"/>
          <w:rFonts w:cstheme="minorHAnsi"/>
        </w:rPr>
        <w:t>S</w:t>
      </w:r>
      <w:r w:rsidRPr="003D15F6">
        <w:rPr>
          <w:rStyle w:val="markedcontent"/>
          <w:rFonts w:cstheme="minorHAnsi"/>
        </w:rPr>
        <w:t xml:space="preserve">cale: Neurobiological </w:t>
      </w:r>
      <w:r>
        <w:rPr>
          <w:rStyle w:val="markedcontent"/>
          <w:rFonts w:cstheme="minorHAnsi"/>
        </w:rPr>
        <w:t>f</w:t>
      </w:r>
      <w:r w:rsidRPr="003D15F6">
        <w:rPr>
          <w:rStyle w:val="markedcontent"/>
          <w:rFonts w:cstheme="minorHAnsi"/>
        </w:rPr>
        <w:t xml:space="preserve">undamentals and </w:t>
      </w:r>
      <w:r>
        <w:rPr>
          <w:rStyle w:val="markedcontent"/>
          <w:rFonts w:cstheme="minorHAnsi"/>
        </w:rPr>
        <w:t>o</w:t>
      </w:r>
      <w:r w:rsidRPr="003D15F6">
        <w:rPr>
          <w:rStyle w:val="markedcontent"/>
          <w:rFonts w:cstheme="minorHAnsi"/>
        </w:rPr>
        <w:t xml:space="preserve">rganizational </w:t>
      </w:r>
      <w:r>
        <w:rPr>
          <w:rStyle w:val="markedcontent"/>
          <w:rFonts w:cstheme="minorHAnsi"/>
        </w:rPr>
        <w:t>a</w:t>
      </w:r>
      <w:r w:rsidRPr="003D15F6">
        <w:rPr>
          <w:rStyle w:val="markedcontent"/>
          <w:rFonts w:cstheme="minorHAnsi"/>
        </w:rPr>
        <w:t>pplication</w:t>
      </w:r>
      <w:r>
        <w:rPr>
          <w:rStyle w:val="markedcontent"/>
          <w:rFonts w:cstheme="minorHAnsi"/>
        </w:rPr>
        <w:t xml:space="preserve">. </w:t>
      </w:r>
      <w:r w:rsidRPr="003D15F6">
        <w:rPr>
          <w:rStyle w:val="markedcontent"/>
          <w:rFonts w:cstheme="minorHAnsi"/>
          <w:i/>
        </w:rPr>
        <w:t xml:space="preserve">International Journal of </w:t>
      </w:r>
      <w:proofErr w:type="spellStart"/>
      <w:r w:rsidRPr="003D15F6">
        <w:rPr>
          <w:rStyle w:val="markedcontent"/>
          <w:rFonts w:cstheme="minorHAnsi"/>
          <w:i/>
        </w:rPr>
        <w:t>Neuropsychotherapy</w:t>
      </w:r>
      <w:proofErr w:type="spellEnd"/>
      <w:r w:rsidRPr="003D15F6">
        <w:rPr>
          <w:rStyle w:val="markedcontent"/>
          <w:rFonts w:cstheme="minorHAnsi"/>
          <w:i/>
        </w:rPr>
        <w:t>, 4</w:t>
      </w:r>
      <w:r>
        <w:rPr>
          <w:rStyle w:val="markedcontent"/>
          <w:rFonts w:cstheme="minorHAnsi"/>
        </w:rPr>
        <w:t xml:space="preserve">(1), 31-46. </w:t>
      </w:r>
    </w:p>
    <w:p w:rsidR="00574846" w:rsidRDefault="00AE0F74">
      <w:pPr>
        <w:rPr>
          <w:bCs/>
          <w:color w:val="000000"/>
        </w:rPr>
      </w:pPr>
      <w:bookmarkStart w:id="0" w:name="_GoBack"/>
      <w:bookmarkEnd w:id="0"/>
      <w:r w:rsidRPr="006A3C45">
        <w:rPr>
          <w:bCs/>
          <w:color w:val="000000"/>
        </w:rPr>
        <w:t xml:space="preserve">Sroufe, L.A. (1997). Psychopathology as an outcome of development. </w:t>
      </w:r>
      <w:r w:rsidRPr="006A3C45">
        <w:rPr>
          <w:bCs/>
          <w:i/>
          <w:color w:val="000000"/>
        </w:rPr>
        <w:t>Development and Psychopathology, 9(</w:t>
      </w:r>
      <w:r w:rsidRPr="006A3C45">
        <w:rPr>
          <w:bCs/>
          <w:color w:val="000000"/>
        </w:rPr>
        <w:t>2) 251-268.</w:t>
      </w:r>
    </w:p>
    <w:p w:rsidR="00AA3524" w:rsidRDefault="00AA3524">
      <w:proofErr w:type="spellStart"/>
      <w:r>
        <w:t>Ungar</w:t>
      </w:r>
      <w:proofErr w:type="spellEnd"/>
      <w:r>
        <w:t>, M. (Ed.). (</w:t>
      </w:r>
      <w:r>
        <w:rPr>
          <w:rStyle w:val="nlmyear"/>
        </w:rPr>
        <w:t>2012</w:t>
      </w:r>
      <w:r>
        <w:t xml:space="preserve">). </w:t>
      </w:r>
      <w:proofErr w:type="gramStart"/>
      <w:r>
        <w:t>The</w:t>
      </w:r>
      <w:proofErr w:type="gramEnd"/>
      <w:r>
        <w:t xml:space="preserve"> social ecology of resilience: A handbook of theory and practice. </w:t>
      </w:r>
      <w:r>
        <w:rPr>
          <w:rStyle w:val="nlmpublisher-loc"/>
        </w:rPr>
        <w:t>New York, NY</w:t>
      </w:r>
      <w:r>
        <w:t xml:space="preserve">: </w:t>
      </w:r>
      <w:r>
        <w:rPr>
          <w:rStyle w:val="nlmpublisher-name"/>
        </w:rPr>
        <w:t>Springer</w:t>
      </w:r>
      <w:r>
        <w:t>.</w:t>
      </w:r>
    </w:p>
    <w:p w:rsidR="007206F9" w:rsidRDefault="007206F9" w:rsidP="007206F9">
      <w:r>
        <w:t>Zimmerman</w:t>
      </w:r>
      <w:r w:rsidR="00574846">
        <w:t>,</w:t>
      </w:r>
      <w:r>
        <w:t xml:space="preserve"> M</w:t>
      </w:r>
      <w:r w:rsidR="00574846">
        <w:t>.</w:t>
      </w:r>
      <w:r>
        <w:t xml:space="preserve">A. (2013). Resiliency Theory: A Strengths-Based Approach to Research and Practice for Adolescent Health. </w:t>
      </w:r>
      <w:r w:rsidRPr="007206F9">
        <w:rPr>
          <w:i/>
        </w:rPr>
        <w:t xml:space="preserve">Health Education &amp; </w:t>
      </w:r>
      <w:proofErr w:type="spellStart"/>
      <w:r w:rsidRPr="007206F9">
        <w:rPr>
          <w:i/>
        </w:rPr>
        <w:t>Behavior</w:t>
      </w:r>
      <w:proofErr w:type="spellEnd"/>
      <w:r w:rsidRPr="007206F9">
        <w:rPr>
          <w:i/>
        </w:rPr>
        <w:t>. 2013</w:t>
      </w:r>
      <w:proofErr w:type="gramStart"/>
      <w:r w:rsidRPr="007206F9">
        <w:rPr>
          <w:i/>
        </w:rPr>
        <w:t>;40</w:t>
      </w:r>
      <w:proofErr w:type="gramEnd"/>
      <w:r>
        <w:t xml:space="preserve">(4):381-383. </w:t>
      </w:r>
      <w:proofErr w:type="gramStart"/>
      <w:r>
        <w:t>doi:</w:t>
      </w:r>
      <w:proofErr w:type="gramEnd"/>
      <w:r>
        <w:t>10.1177/1090198113493782</w:t>
      </w:r>
    </w:p>
    <w:p w:rsidR="00DD6E56" w:rsidRDefault="00DD6E56">
      <w:pPr>
        <w:rPr>
          <w:rFonts w:cstheme="minorHAnsi"/>
        </w:rPr>
      </w:pPr>
    </w:p>
    <w:p w:rsidR="00DD6E56" w:rsidRPr="006A3C45" w:rsidRDefault="00DD6E56">
      <w:pPr>
        <w:rPr>
          <w:rFonts w:cstheme="minorHAnsi"/>
        </w:rPr>
      </w:pPr>
    </w:p>
    <w:sectPr w:rsidR="00DD6E56" w:rsidRPr="006A3C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B2" w:rsidRDefault="004230B2" w:rsidP="006109AA">
      <w:pPr>
        <w:spacing w:before="0" w:after="0" w:line="240" w:lineRule="auto"/>
      </w:pPr>
      <w:r>
        <w:separator/>
      </w:r>
    </w:p>
  </w:endnote>
  <w:endnote w:type="continuationSeparator" w:id="0">
    <w:p w:rsidR="004230B2" w:rsidRDefault="004230B2" w:rsidP="00610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M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B2" w:rsidRDefault="004230B2" w:rsidP="006109AA">
      <w:pPr>
        <w:spacing w:before="0" w:after="0" w:line="240" w:lineRule="auto"/>
      </w:pPr>
      <w:r>
        <w:separator/>
      </w:r>
    </w:p>
  </w:footnote>
  <w:footnote w:type="continuationSeparator" w:id="0">
    <w:p w:rsidR="004230B2" w:rsidRDefault="004230B2" w:rsidP="006109AA">
      <w:pPr>
        <w:spacing w:before="0" w:after="0" w:line="240" w:lineRule="auto"/>
      </w:pPr>
      <w:r>
        <w:continuationSeparator/>
      </w:r>
    </w:p>
  </w:footnote>
  <w:footnote w:id="1">
    <w:p w:rsidR="003D15F6" w:rsidRPr="00FE5FD6" w:rsidRDefault="003D15F6" w:rsidP="006109AA">
      <w:pPr>
        <w:spacing w:line="240" w:lineRule="auto"/>
        <w:contextualSpacing/>
        <w:rPr>
          <w:sz w:val="20"/>
          <w:szCs w:val="20"/>
          <w:lang w:val="en-US"/>
        </w:rPr>
      </w:pPr>
      <w:r>
        <w:rPr>
          <w:rStyle w:val="FootnoteReference"/>
        </w:rPr>
        <w:footnoteRef/>
      </w:r>
      <w:r>
        <w:t xml:space="preserve"> </w:t>
      </w:r>
      <w:r w:rsidR="00FE5FD6" w:rsidRPr="00FE5FD6">
        <w:rPr>
          <w:rFonts w:cstheme="minorHAnsi"/>
          <w:sz w:val="20"/>
          <w:szCs w:val="20"/>
        </w:rPr>
        <w:t xml:space="preserve">Paper read at </w:t>
      </w:r>
      <w:r w:rsidR="00F30C49" w:rsidRPr="00FE5FD6">
        <w:rPr>
          <w:rFonts w:cstheme="minorHAnsi"/>
          <w:sz w:val="20"/>
          <w:szCs w:val="20"/>
        </w:rPr>
        <w:t xml:space="preserve">Roundtable </w:t>
      </w:r>
      <w:r w:rsidR="00F30C49" w:rsidRPr="00FE5FD6">
        <w:rPr>
          <w:rFonts w:cstheme="minorHAnsi"/>
          <w:sz w:val="20"/>
          <w:szCs w:val="20"/>
          <w:lang w:val="en-IE"/>
        </w:rPr>
        <w:t>on</w:t>
      </w:r>
      <w:r w:rsidR="00F30C49" w:rsidRPr="00FE5FD6">
        <w:rPr>
          <w:sz w:val="20"/>
          <w:szCs w:val="20"/>
          <w:lang w:val="en-IE"/>
        </w:rPr>
        <w:t xml:space="preserve"> </w:t>
      </w:r>
      <w:r w:rsidR="00F30C49" w:rsidRPr="00FE5FD6">
        <w:rPr>
          <w:sz w:val="20"/>
          <w:szCs w:val="20"/>
          <w:lang w:val="en-US"/>
        </w:rPr>
        <w:t>The contribution of Education to the formation of a Healthy and Sustainable City in the post-COVID era</w:t>
      </w:r>
      <w:r w:rsidR="00FE5FD6">
        <w:rPr>
          <w:sz w:val="20"/>
          <w:szCs w:val="20"/>
          <w:lang w:val="en-US"/>
        </w:rPr>
        <w:t xml:space="preserve">. </w:t>
      </w:r>
      <w:proofErr w:type="gramStart"/>
      <w:r w:rsidR="00FE5FD6">
        <w:rPr>
          <w:sz w:val="20"/>
          <w:szCs w:val="20"/>
          <w:lang w:val="en-US"/>
        </w:rPr>
        <w:t>A</w:t>
      </w:r>
      <w:r w:rsidRPr="00FE5FD6">
        <w:rPr>
          <w:sz w:val="20"/>
          <w:szCs w:val="20"/>
          <w:lang w:val="en-IE"/>
        </w:rPr>
        <w:t>t</w:t>
      </w:r>
      <w:r w:rsidR="00FE5FD6">
        <w:rPr>
          <w:sz w:val="20"/>
          <w:szCs w:val="20"/>
          <w:lang w:val="en-IE"/>
        </w:rPr>
        <w:t xml:space="preserve"> the </w:t>
      </w:r>
      <w:r w:rsidRPr="00FE5FD6">
        <w:rPr>
          <w:i/>
          <w:iCs/>
          <w:sz w:val="20"/>
          <w:szCs w:val="20"/>
          <w:lang w:val="en-US"/>
        </w:rPr>
        <w:t>7th International Conference for the Promotion of Educational Innovation</w:t>
      </w:r>
      <w:r w:rsidR="00F30C49" w:rsidRPr="00FE5FD6">
        <w:rPr>
          <w:sz w:val="20"/>
          <w:szCs w:val="20"/>
          <w:lang w:val="en-US"/>
        </w:rPr>
        <w:t>, of EEPEK.</w:t>
      </w:r>
      <w:proofErr w:type="gramEnd"/>
      <w:r w:rsidR="00F30C49" w:rsidRPr="00FE5FD6">
        <w:rPr>
          <w:sz w:val="20"/>
          <w:szCs w:val="20"/>
          <w:lang w:val="en-US"/>
        </w:rPr>
        <w:t xml:space="preserve"> </w:t>
      </w:r>
      <w:r w:rsidRPr="00FE5FD6">
        <w:rPr>
          <w:sz w:val="20"/>
          <w:szCs w:val="20"/>
          <w:lang w:val="en-US"/>
        </w:rPr>
        <w:t>University of Thessaly, Larissa, Greece October 16, 2021.</w:t>
      </w:r>
    </w:p>
    <w:p w:rsidR="003D15F6" w:rsidRPr="006109AA" w:rsidRDefault="003D15F6" w:rsidP="006109AA">
      <w:pPr>
        <w:rPr>
          <w:lang w:val="en-US"/>
        </w:rPr>
      </w:pPr>
    </w:p>
    <w:p w:rsidR="003D15F6" w:rsidRPr="006109AA" w:rsidRDefault="003D15F6">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F6E"/>
    <w:multiLevelType w:val="hybridMultilevel"/>
    <w:tmpl w:val="CB8C2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7A0519"/>
    <w:multiLevelType w:val="hybridMultilevel"/>
    <w:tmpl w:val="6E063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0946F9"/>
    <w:multiLevelType w:val="hybridMultilevel"/>
    <w:tmpl w:val="995C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A"/>
    <w:rsid w:val="000A10E0"/>
    <w:rsid w:val="00155C5B"/>
    <w:rsid w:val="00367CD4"/>
    <w:rsid w:val="0038251A"/>
    <w:rsid w:val="003C4297"/>
    <w:rsid w:val="003D15F6"/>
    <w:rsid w:val="004230B2"/>
    <w:rsid w:val="00445F18"/>
    <w:rsid w:val="00541CDE"/>
    <w:rsid w:val="00574846"/>
    <w:rsid w:val="006109AA"/>
    <w:rsid w:val="00617460"/>
    <w:rsid w:val="006A3C45"/>
    <w:rsid w:val="007206F9"/>
    <w:rsid w:val="007A2483"/>
    <w:rsid w:val="00885E3C"/>
    <w:rsid w:val="008F74F0"/>
    <w:rsid w:val="00A334E9"/>
    <w:rsid w:val="00A5282E"/>
    <w:rsid w:val="00AA266C"/>
    <w:rsid w:val="00AA3524"/>
    <w:rsid w:val="00AE0F74"/>
    <w:rsid w:val="00B059E2"/>
    <w:rsid w:val="00C0296A"/>
    <w:rsid w:val="00C11417"/>
    <w:rsid w:val="00C608A1"/>
    <w:rsid w:val="00C81CBD"/>
    <w:rsid w:val="00C8565C"/>
    <w:rsid w:val="00CC1D25"/>
    <w:rsid w:val="00D2710C"/>
    <w:rsid w:val="00D43634"/>
    <w:rsid w:val="00D501EC"/>
    <w:rsid w:val="00DC7CA0"/>
    <w:rsid w:val="00DD6E56"/>
    <w:rsid w:val="00E156BB"/>
    <w:rsid w:val="00F30C49"/>
    <w:rsid w:val="00FE1E39"/>
    <w:rsid w:val="00FE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1A"/>
    <w:pPr>
      <w:spacing w:before="100" w:beforeAutospacing="1" w:after="100" w:afterAutospacing="1" w:line="360" w:lineRule="auto"/>
    </w:pPr>
    <w:rPr>
      <w:sz w:val="24"/>
      <w:szCs w:val="24"/>
      <w:lang w:val="en-GB"/>
    </w:rPr>
  </w:style>
  <w:style w:type="paragraph" w:styleId="Heading1">
    <w:name w:val="heading 1"/>
    <w:basedOn w:val="Normal"/>
    <w:link w:val="Heading1Char"/>
    <w:uiPriority w:val="9"/>
    <w:qFormat/>
    <w:rsid w:val="0038251A"/>
    <w:pPr>
      <w:spacing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38251A"/>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382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251A"/>
    <w:rPr>
      <w:i/>
      <w:iCs/>
    </w:rPr>
  </w:style>
  <w:style w:type="character" w:styleId="Hyperlink">
    <w:name w:val="Hyperlink"/>
    <w:basedOn w:val="DefaultParagraphFont"/>
    <w:uiPriority w:val="99"/>
    <w:unhideWhenUsed/>
    <w:rsid w:val="006109AA"/>
    <w:rPr>
      <w:color w:val="0000FF" w:themeColor="hyperlink"/>
      <w:u w:val="single"/>
    </w:rPr>
  </w:style>
  <w:style w:type="paragraph" w:styleId="FootnoteText">
    <w:name w:val="footnote text"/>
    <w:basedOn w:val="Normal"/>
    <w:link w:val="FootnoteTextChar"/>
    <w:uiPriority w:val="99"/>
    <w:semiHidden/>
    <w:unhideWhenUsed/>
    <w:rsid w:val="006109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109AA"/>
    <w:rPr>
      <w:sz w:val="20"/>
      <w:szCs w:val="20"/>
      <w:lang w:val="en-GB"/>
    </w:rPr>
  </w:style>
  <w:style w:type="character" w:styleId="FootnoteReference">
    <w:name w:val="footnote reference"/>
    <w:basedOn w:val="DefaultParagraphFont"/>
    <w:uiPriority w:val="99"/>
    <w:semiHidden/>
    <w:unhideWhenUsed/>
    <w:rsid w:val="006109AA"/>
    <w:rPr>
      <w:vertAlign w:val="superscript"/>
    </w:rPr>
  </w:style>
  <w:style w:type="character" w:customStyle="1" w:styleId="markedcontent">
    <w:name w:val="markedcontent"/>
    <w:basedOn w:val="DefaultParagraphFont"/>
    <w:rsid w:val="006109AA"/>
  </w:style>
  <w:style w:type="character" w:styleId="HTMLCite">
    <w:name w:val="HTML Cite"/>
    <w:basedOn w:val="DefaultParagraphFont"/>
    <w:uiPriority w:val="99"/>
    <w:semiHidden/>
    <w:unhideWhenUsed/>
    <w:rsid w:val="007206F9"/>
    <w:rPr>
      <w:i/>
      <w:iCs/>
    </w:rPr>
  </w:style>
  <w:style w:type="paragraph" w:customStyle="1" w:styleId="Default">
    <w:name w:val="Default"/>
    <w:rsid w:val="00155C5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617460"/>
  </w:style>
  <w:style w:type="character" w:styleId="FollowedHyperlink">
    <w:name w:val="FollowedHyperlink"/>
    <w:basedOn w:val="DefaultParagraphFont"/>
    <w:uiPriority w:val="99"/>
    <w:semiHidden/>
    <w:unhideWhenUsed/>
    <w:rsid w:val="00B059E2"/>
    <w:rPr>
      <w:color w:val="800080" w:themeColor="followedHyperlink"/>
      <w:u w:val="single"/>
    </w:rPr>
  </w:style>
  <w:style w:type="paragraph" w:styleId="BalloonText">
    <w:name w:val="Balloon Text"/>
    <w:basedOn w:val="Normal"/>
    <w:link w:val="BalloonTextChar"/>
    <w:uiPriority w:val="99"/>
    <w:semiHidden/>
    <w:unhideWhenUsed/>
    <w:rsid w:val="00DC7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A0"/>
    <w:rPr>
      <w:rFonts w:ascii="Tahoma" w:hAnsi="Tahoma" w:cs="Tahoma"/>
      <w:sz w:val="16"/>
      <w:szCs w:val="16"/>
      <w:lang w:val="en-GB"/>
    </w:rPr>
  </w:style>
  <w:style w:type="paragraph" w:styleId="ListParagraph">
    <w:name w:val="List Paragraph"/>
    <w:basedOn w:val="Normal"/>
    <w:uiPriority w:val="34"/>
    <w:qFormat/>
    <w:rsid w:val="00AA266C"/>
    <w:pPr>
      <w:ind w:left="720"/>
      <w:contextualSpacing/>
    </w:pPr>
  </w:style>
  <w:style w:type="character" w:customStyle="1" w:styleId="nlmyear">
    <w:name w:val="nlm_year"/>
    <w:basedOn w:val="DefaultParagraphFont"/>
    <w:rsid w:val="00AA3524"/>
  </w:style>
  <w:style w:type="character" w:customStyle="1" w:styleId="nlmpublisher-loc">
    <w:name w:val="nlm_publisher-loc"/>
    <w:basedOn w:val="DefaultParagraphFont"/>
    <w:rsid w:val="00AA3524"/>
  </w:style>
  <w:style w:type="character" w:customStyle="1" w:styleId="nlmpublisher-name">
    <w:name w:val="nlm_publisher-name"/>
    <w:basedOn w:val="DefaultParagraphFont"/>
    <w:rsid w:val="00AA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1A"/>
    <w:pPr>
      <w:spacing w:before="100" w:beforeAutospacing="1" w:after="100" w:afterAutospacing="1" w:line="360" w:lineRule="auto"/>
    </w:pPr>
    <w:rPr>
      <w:sz w:val="24"/>
      <w:szCs w:val="24"/>
      <w:lang w:val="en-GB"/>
    </w:rPr>
  </w:style>
  <w:style w:type="paragraph" w:styleId="Heading1">
    <w:name w:val="heading 1"/>
    <w:basedOn w:val="Normal"/>
    <w:link w:val="Heading1Char"/>
    <w:uiPriority w:val="9"/>
    <w:qFormat/>
    <w:rsid w:val="0038251A"/>
    <w:pPr>
      <w:spacing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38251A"/>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382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251A"/>
    <w:rPr>
      <w:i/>
      <w:iCs/>
    </w:rPr>
  </w:style>
  <w:style w:type="character" w:styleId="Hyperlink">
    <w:name w:val="Hyperlink"/>
    <w:basedOn w:val="DefaultParagraphFont"/>
    <w:uiPriority w:val="99"/>
    <w:unhideWhenUsed/>
    <w:rsid w:val="006109AA"/>
    <w:rPr>
      <w:color w:val="0000FF" w:themeColor="hyperlink"/>
      <w:u w:val="single"/>
    </w:rPr>
  </w:style>
  <w:style w:type="paragraph" w:styleId="FootnoteText">
    <w:name w:val="footnote text"/>
    <w:basedOn w:val="Normal"/>
    <w:link w:val="FootnoteTextChar"/>
    <w:uiPriority w:val="99"/>
    <w:semiHidden/>
    <w:unhideWhenUsed/>
    <w:rsid w:val="006109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109AA"/>
    <w:rPr>
      <w:sz w:val="20"/>
      <w:szCs w:val="20"/>
      <w:lang w:val="en-GB"/>
    </w:rPr>
  </w:style>
  <w:style w:type="character" w:styleId="FootnoteReference">
    <w:name w:val="footnote reference"/>
    <w:basedOn w:val="DefaultParagraphFont"/>
    <w:uiPriority w:val="99"/>
    <w:semiHidden/>
    <w:unhideWhenUsed/>
    <w:rsid w:val="006109AA"/>
    <w:rPr>
      <w:vertAlign w:val="superscript"/>
    </w:rPr>
  </w:style>
  <w:style w:type="character" w:customStyle="1" w:styleId="markedcontent">
    <w:name w:val="markedcontent"/>
    <w:basedOn w:val="DefaultParagraphFont"/>
    <w:rsid w:val="006109AA"/>
  </w:style>
  <w:style w:type="character" w:styleId="HTMLCite">
    <w:name w:val="HTML Cite"/>
    <w:basedOn w:val="DefaultParagraphFont"/>
    <w:uiPriority w:val="99"/>
    <w:semiHidden/>
    <w:unhideWhenUsed/>
    <w:rsid w:val="007206F9"/>
    <w:rPr>
      <w:i/>
      <w:iCs/>
    </w:rPr>
  </w:style>
  <w:style w:type="paragraph" w:customStyle="1" w:styleId="Default">
    <w:name w:val="Default"/>
    <w:rsid w:val="00155C5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617460"/>
  </w:style>
  <w:style w:type="character" w:styleId="FollowedHyperlink">
    <w:name w:val="FollowedHyperlink"/>
    <w:basedOn w:val="DefaultParagraphFont"/>
    <w:uiPriority w:val="99"/>
    <w:semiHidden/>
    <w:unhideWhenUsed/>
    <w:rsid w:val="00B059E2"/>
    <w:rPr>
      <w:color w:val="800080" w:themeColor="followedHyperlink"/>
      <w:u w:val="single"/>
    </w:rPr>
  </w:style>
  <w:style w:type="paragraph" w:styleId="BalloonText">
    <w:name w:val="Balloon Text"/>
    <w:basedOn w:val="Normal"/>
    <w:link w:val="BalloonTextChar"/>
    <w:uiPriority w:val="99"/>
    <w:semiHidden/>
    <w:unhideWhenUsed/>
    <w:rsid w:val="00DC7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A0"/>
    <w:rPr>
      <w:rFonts w:ascii="Tahoma" w:hAnsi="Tahoma" w:cs="Tahoma"/>
      <w:sz w:val="16"/>
      <w:szCs w:val="16"/>
      <w:lang w:val="en-GB"/>
    </w:rPr>
  </w:style>
  <w:style w:type="paragraph" w:styleId="ListParagraph">
    <w:name w:val="List Paragraph"/>
    <w:basedOn w:val="Normal"/>
    <w:uiPriority w:val="34"/>
    <w:qFormat/>
    <w:rsid w:val="00AA266C"/>
    <w:pPr>
      <w:ind w:left="720"/>
      <w:contextualSpacing/>
    </w:pPr>
  </w:style>
  <w:style w:type="character" w:customStyle="1" w:styleId="nlmyear">
    <w:name w:val="nlm_year"/>
    <w:basedOn w:val="DefaultParagraphFont"/>
    <w:rsid w:val="00AA3524"/>
  </w:style>
  <w:style w:type="character" w:customStyle="1" w:styleId="nlmpublisher-loc">
    <w:name w:val="nlm_publisher-loc"/>
    <w:basedOn w:val="DefaultParagraphFont"/>
    <w:rsid w:val="00AA3524"/>
  </w:style>
  <w:style w:type="character" w:customStyle="1" w:styleId="nlmpublisher-name">
    <w:name w:val="nlm_publisher-name"/>
    <w:basedOn w:val="DefaultParagraphFont"/>
    <w:rsid w:val="00A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479">
      <w:bodyDiv w:val="1"/>
      <w:marLeft w:val="0"/>
      <w:marRight w:val="0"/>
      <w:marTop w:val="0"/>
      <w:marBottom w:val="0"/>
      <w:divBdr>
        <w:top w:val="none" w:sz="0" w:space="0" w:color="auto"/>
        <w:left w:val="none" w:sz="0" w:space="0" w:color="auto"/>
        <w:bottom w:val="none" w:sz="0" w:space="0" w:color="auto"/>
        <w:right w:val="none" w:sz="0" w:space="0" w:color="auto"/>
      </w:divBdr>
    </w:div>
    <w:div w:id="549533733">
      <w:bodyDiv w:val="1"/>
      <w:marLeft w:val="0"/>
      <w:marRight w:val="0"/>
      <w:marTop w:val="0"/>
      <w:marBottom w:val="0"/>
      <w:divBdr>
        <w:top w:val="none" w:sz="0" w:space="0" w:color="auto"/>
        <w:left w:val="none" w:sz="0" w:space="0" w:color="auto"/>
        <w:bottom w:val="none" w:sz="0" w:space="0" w:color="auto"/>
        <w:right w:val="none" w:sz="0" w:space="0" w:color="auto"/>
      </w:divBdr>
    </w:div>
    <w:div w:id="15173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Doi_(identif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aumainformedcare.chcs.org/resource/original-ace-questionna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books.com/articles/2015/11/05/mystery-primo-lev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sitivepsychology.com/3-resilience-scales/" TargetMode="External"/><Relationship Id="rId5" Type="http://schemas.openxmlformats.org/officeDocument/2006/relationships/settings" Target="settings.xml"/><Relationship Id="rId15" Type="http://schemas.openxmlformats.org/officeDocument/2006/relationships/hyperlink" Target="https://www.ncbi.nlm.nih.gov/pmc/articles/PMC2956753/pdf/nihms387.pdf" TargetMode="External"/><Relationship Id="rId10" Type="http://schemas.openxmlformats.org/officeDocument/2006/relationships/hyperlink" Target="http://adversechildhoodexperiences.net/" TargetMode="External"/><Relationship Id="rId4" Type="http://schemas.microsoft.com/office/2007/relationships/stylesWithEffects" Target="stylesWithEffects.xml"/><Relationship Id="rId9" Type="http://schemas.openxmlformats.org/officeDocument/2006/relationships/hyperlink" Target="mailto:ejf2129@tc.columbia.edu" TargetMode="External"/><Relationship Id="rId14" Type="http://schemas.openxmlformats.org/officeDocument/2006/relationships/hyperlink" Target="https://doi.org/10.1016%2FS0749-3797%2898%2900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51CD-5B84-4B53-A5A7-51F5433C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cp:lastPrinted>2021-10-15T19:01:00Z</cp:lastPrinted>
  <dcterms:created xsi:type="dcterms:W3CDTF">2021-10-15T13:20:00Z</dcterms:created>
  <dcterms:modified xsi:type="dcterms:W3CDTF">2021-10-15T19:55:00Z</dcterms:modified>
</cp:coreProperties>
</file>