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35" w:rsidRPr="00CC0335" w:rsidRDefault="00CC0335" w:rsidP="00CC0335">
      <w:pPr>
        <w:pStyle w:val="NormalWeb"/>
        <w:contextualSpacing/>
        <w:jc w:val="center"/>
        <w:rPr>
          <w:b/>
        </w:rPr>
      </w:pPr>
      <w:r w:rsidRPr="00CC0335">
        <w:rPr>
          <w:b/>
        </w:rPr>
        <w:t xml:space="preserve">Student Voice in Adult and Further Education: </w:t>
      </w:r>
    </w:p>
    <w:p w:rsidR="00CC0335" w:rsidRDefault="00CC0335" w:rsidP="00CC0335">
      <w:pPr>
        <w:pStyle w:val="NormalWeb"/>
        <w:contextualSpacing/>
        <w:jc w:val="center"/>
        <w:rPr>
          <w:b/>
        </w:rPr>
      </w:pPr>
      <w:r w:rsidRPr="00CC0335">
        <w:rPr>
          <w:b/>
        </w:rPr>
        <w:t>A Charter for Listening, Speaking, Responding</w:t>
      </w:r>
    </w:p>
    <w:p w:rsidR="00CC0335" w:rsidRPr="00CC0335" w:rsidRDefault="00CC0335" w:rsidP="00CC0335">
      <w:pPr>
        <w:pStyle w:val="NormalWeb"/>
        <w:contextualSpacing/>
        <w:jc w:val="center"/>
        <w:rPr>
          <w:b/>
        </w:rPr>
      </w:pPr>
    </w:p>
    <w:p w:rsidR="00CC0335" w:rsidRDefault="00CC0335" w:rsidP="00CC0335">
      <w:pPr>
        <w:pStyle w:val="NormalWeb"/>
        <w:contextualSpacing/>
        <w:jc w:val="center"/>
      </w:pPr>
      <w:proofErr w:type="spellStart"/>
      <w:r>
        <w:t>Dr.</w:t>
      </w:r>
      <w:proofErr w:type="spellEnd"/>
      <w:r>
        <w:t xml:space="preserve"> Ted Fleming</w:t>
      </w:r>
    </w:p>
    <w:p w:rsidR="00CC0335" w:rsidRDefault="00CC0335" w:rsidP="00CC0335">
      <w:pPr>
        <w:pStyle w:val="NormalWeb"/>
        <w:contextualSpacing/>
        <w:jc w:val="center"/>
      </w:pPr>
      <w:r>
        <w:t>Teachers College Columbia University</w:t>
      </w:r>
    </w:p>
    <w:p w:rsidR="00CC0335" w:rsidRDefault="00CC0335" w:rsidP="00CC0335">
      <w:pPr>
        <w:pStyle w:val="NormalWeb"/>
        <w:jc w:val="center"/>
      </w:pPr>
    </w:p>
    <w:p w:rsidR="00CC0335" w:rsidRPr="0071223C" w:rsidRDefault="00CC0335" w:rsidP="0071223C">
      <w:pPr>
        <w:pStyle w:val="NormalWeb"/>
        <w:ind w:left="720"/>
        <w:rPr>
          <w:sz w:val="20"/>
          <w:szCs w:val="20"/>
        </w:rPr>
      </w:pPr>
      <w:r w:rsidRPr="0071223C">
        <w:rPr>
          <w:sz w:val="20"/>
          <w:szCs w:val="20"/>
        </w:rPr>
        <w:t>Upend the rain stick and what happens next</w:t>
      </w:r>
      <w:r w:rsidRPr="0071223C">
        <w:rPr>
          <w:sz w:val="20"/>
          <w:szCs w:val="20"/>
        </w:rPr>
        <w:br/>
      </w:r>
      <w:proofErr w:type="gramStart"/>
      <w:r w:rsidRPr="0071223C">
        <w:rPr>
          <w:sz w:val="20"/>
          <w:szCs w:val="20"/>
        </w:rPr>
        <w:t>Is</w:t>
      </w:r>
      <w:proofErr w:type="gramEnd"/>
      <w:r w:rsidRPr="0071223C">
        <w:rPr>
          <w:sz w:val="20"/>
          <w:szCs w:val="20"/>
        </w:rPr>
        <w:t xml:space="preserve"> a music that you never would have known</w:t>
      </w:r>
      <w:r w:rsidRPr="0071223C">
        <w:rPr>
          <w:sz w:val="20"/>
          <w:szCs w:val="20"/>
        </w:rPr>
        <w:br/>
        <w:t>To listen for. In a cactus stalk</w:t>
      </w:r>
    </w:p>
    <w:p w:rsidR="00CC0335" w:rsidRPr="0071223C" w:rsidRDefault="00CC0335" w:rsidP="0071223C">
      <w:pPr>
        <w:pStyle w:val="NormalWeb"/>
        <w:ind w:left="720"/>
        <w:rPr>
          <w:sz w:val="20"/>
          <w:szCs w:val="20"/>
        </w:rPr>
      </w:pPr>
      <w:r w:rsidRPr="0071223C">
        <w:rPr>
          <w:sz w:val="20"/>
          <w:szCs w:val="20"/>
        </w:rPr>
        <w:t>Downpour, sluice-rush, spillage and backwash</w:t>
      </w:r>
      <w:r w:rsidRPr="0071223C">
        <w:rPr>
          <w:sz w:val="20"/>
          <w:szCs w:val="20"/>
        </w:rPr>
        <w:br/>
      </w:r>
      <w:proofErr w:type="gramStart"/>
      <w:r w:rsidRPr="0071223C">
        <w:rPr>
          <w:sz w:val="20"/>
          <w:szCs w:val="20"/>
        </w:rPr>
        <w:t>Come</w:t>
      </w:r>
      <w:proofErr w:type="gramEnd"/>
      <w:r w:rsidRPr="0071223C">
        <w:rPr>
          <w:sz w:val="20"/>
          <w:szCs w:val="20"/>
        </w:rPr>
        <w:t xml:space="preserve"> flowing through. You stand there like a pipe</w:t>
      </w:r>
      <w:r w:rsidRPr="0071223C">
        <w:rPr>
          <w:sz w:val="20"/>
          <w:szCs w:val="20"/>
        </w:rPr>
        <w:br/>
      </w:r>
      <w:proofErr w:type="gramStart"/>
      <w:r w:rsidRPr="0071223C">
        <w:rPr>
          <w:sz w:val="20"/>
          <w:szCs w:val="20"/>
        </w:rPr>
        <w:t>Being</w:t>
      </w:r>
      <w:proofErr w:type="gramEnd"/>
      <w:r w:rsidRPr="0071223C">
        <w:rPr>
          <w:sz w:val="20"/>
          <w:szCs w:val="20"/>
        </w:rPr>
        <w:t xml:space="preserve"> played by water, you shake it again lightly</w:t>
      </w:r>
    </w:p>
    <w:p w:rsidR="00CC0335" w:rsidRPr="0071223C" w:rsidRDefault="00CC0335" w:rsidP="0071223C">
      <w:pPr>
        <w:pStyle w:val="NormalWeb"/>
        <w:ind w:left="720"/>
        <w:rPr>
          <w:sz w:val="20"/>
          <w:szCs w:val="20"/>
        </w:rPr>
      </w:pPr>
      <w:r w:rsidRPr="0071223C">
        <w:rPr>
          <w:sz w:val="20"/>
          <w:szCs w:val="20"/>
        </w:rPr>
        <w:t>And diminuendo runs through all its scales</w:t>
      </w:r>
      <w:r w:rsidRPr="0071223C">
        <w:rPr>
          <w:sz w:val="20"/>
          <w:szCs w:val="20"/>
        </w:rPr>
        <w:br/>
      </w:r>
      <w:proofErr w:type="gramStart"/>
      <w:r w:rsidRPr="0071223C">
        <w:rPr>
          <w:sz w:val="20"/>
          <w:szCs w:val="20"/>
        </w:rPr>
        <w:t>Like</w:t>
      </w:r>
      <w:proofErr w:type="gramEnd"/>
      <w:r w:rsidRPr="0071223C">
        <w:rPr>
          <w:sz w:val="20"/>
          <w:szCs w:val="20"/>
        </w:rPr>
        <w:t xml:space="preserve"> a gutter stopping trickling. And now here comes</w:t>
      </w:r>
      <w:r w:rsidRPr="0071223C">
        <w:rPr>
          <w:sz w:val="20"/>
          <w:szCs w:val="20"/>
        </w:rPr>
        <w:br/>
      </w:r>
      <w:proofErr w:type="gramStart"/>
      <w:r w:rsidRPr="0071223C">
        <w:rPr>
          <w:sz w:val="20"/>
          <w:szCs w:val="20"/>
        </w:rPr>
        <w:t>A</w:t>
      </w:r>
      <w:proofErr w:type="gramEnd"/>
      <w:r w:rsidRPr="0071223C">
        <w:rPr>
          <w:sz w:val="20"/>
          <w:szCs w:val="20"/>
        </w:rPr>
        <w:t xml:space="preserve"> sprinkle of drops out of the freshened leaves,</w:t>
      </w:r>
    </w:p>
    <w:p w:rsidR="00CC0335" w:rsidRPr="0071223C" w:rsidRDefault="00CC0335" w:rsidP="0071223C">
      <w:pPr>
        <w:pStyle w:val="NormalWeb"/>
        <w:ind w:left="720"/>
        <w:rPr>
          <w:sz w:val="20"/>
          <w:szCs w:val="20"/>
        </w:rPr>
      </w:pPr>
      <w:r w:rsidRPr="0071223C">
        <w:rPr>
          <w:sz w:val="20"/>
          <w:szCs w:val="20"/>
        </w:rPr>
        <w:t>Then subtle little wets off grass and daisies</w:t>
      </w:r>
      <w:proofErr w:type="gramStart"/>
      <w:r w:rsidRPr="0071223C">
        <w:rPr>
          <w:sz w:val="20"/>
          <w:szCs w:val="20"/>
        </w:rPr>
        <w:t>;</w:t>
      </w:r>
      <w:proofErr w:type="gramEnd"/>
      <w:r w:rsidRPr="0071223C">
        <w:rPr>
          <w:sz w:val="20"/>
          <w:szCs w:val="20"/>
        </w:rPr>
        <w:br/>
        <w:t>Then glitter-drizzle, almost breaths of air.</w:t>
      </w:r>
      <w:r w:rsidRPr="0071223C">
        <w:rPr>
          <w:sz w:val="20"/>
          <w:szCs w:val="20"/>
        </w:rPr>
        <w:br/>
        <w:t xml:space="preserve">Upend the stick again. What happens </w:t>
      </w:r>
      <w:proofErr w:type="gramStart"/>
      <w:r w:rsidRPr="0071223C">
        <w:rPr>
          <w:sz w:val="20"/>
          <w:szCs w:val="20"/>
        </w:rPr>
        <w:t>next</w:t>
      </w:r>
      <w:proofErr w:type="gramEnd"/>
    </w:p>
    <w:p w:rsidR="00CC0335" w:rsidRPr="0071223C" w:rsidRDefault="00CC0335" w:rsidP="0071223C">
      <w:pPr>
        <w:pStyle w:val="NormalWeb"/>
        <w:ind w:left="720"/>
        <w:rPr>
          <w:sz w:val="20"/>
          <w:szCs w:val="20"/>
        </w:rPr>
      </w:pPr>
      <w:r w:rsidRPr="0071223C">
        <w:rPr>
          <w:sz w:val="20"/>
          <w:szCs w:val="20"/>
        </w:rPr>
        <w:t>Is undiminished for having happened once</w:t>
      </w:r>
      <w:proofErr w:type="gramStart"/>
      <w:r w:rsidRPr="0071223C">
        <w:rPr>
          <w:sz w:val="20"/>
          <w:szCs w:val="20"/>
        </w:rPr>
        <w:t>,</w:t>
      </w:r>
      <w:proofErr w:type="gramEnd"/>
      <w:r w:rsidRPr="0071223C">
        <w:rPr>
          <w:sz w:val="20"/>
          <w:szCs w:val="20"/>
        </w:rPr>
        <w:br/>
        <w:t>Twice, ten, a thousand times before.</w:t>
      </w:r>
      <w:r w:rsidRPr="0071223C">
        <w:rPr>
          <w:sz w:val="20"/>
          <w:szCs w:val="20"/>
        </w:rPr>
        <w:br/>
        <w:t xml:space="preserve">Who cares if all the music that </w:t>
      </w:r>
      <w:proofErr w:type="gramStart"/>
      <w:r w:rsidRPr="0071223C">
        <w:rPr>
          <w:sz w:val="20"/>
          <w:szCs w:val="20"/>
        </w:rPr>
        <w:t>transpires</w:t>
      </w:r>
      <w:proofErr w:type="gramEnd"/>
    </w:p>
    <w:p w:rsidR="00CC0335" w:rsidRPr="0071223C" w:rsidRDefault="00CC0335" w:rsidP="0071223C">
      <w:pPr>
        <w:pStyle w:val="NormalWeb"/>
        <w:ind w:left="720"/>
        <w:rPr>
          <w:sz w:val="20"/>
          <w:szCs w:val="20"/>
        </w:rPr>
      </w:pPr>
      <w:r w:rsidRPr="0071223C">
        <w:rPr>
          <w:sz w:val="20"/>
          <w:szCs w:val="20"/>
        </w:rPr>
        <w:t>Is the fall of grit or dry seeds through a cactus?</w:t>
      </w:r>
      <w:r w:rsidRPr="0071223C">
        <w:rPr>
          <w:sz w:val="20"/>
          <w:szCs w:val="20"/>
        </w:rPr>
        <w:br/>
        <w:t>You are like a rich man entering heaven</w:t>
      </w:r>
      <w:r w:rsidRPr="0071223C">
        <w:rPr>
          <w:sz w:val="20"/>
          <w:szCs w:val="20"/>
        </w:rPr>
        <w:br/>
      </w:r>
      <w:proofErr w:type="gramStart"/>
      <w:r w:rsidRPr="0071223C">
        <w:rPr>
          <w:sz w:val="20"/>
          <w:szCs w:val="20"/>
        </w:rPr>
        <w:t>Through</w:t>
      </w:r>
      <w:proofErr w:type="gramEnd"/>
      <w:r w:rsidRPr="0071223C">
        <w:rPr>
          <w:sz w:val="20"/>
          <w:szCs w:val="20"/>
        </w:rPr>
        <w:t xml:space="preserve"> the ear of a raindrop. Listen now again.</w:t>
      </w:r>
    </w:p>
    <w:p w:rsidR="00CC0335" w:rsidRDefault="00CC0335" w:rsidP="00CC0335">
      <w:pPr>
        <w:pStyle w:val="NormalWeb"/>
      </w:pPr>
      <w:r>
        <w:t xml:space="preserve">— Seamus Heaney, from </w:t>
      </w:r>
      <w:hyperlink r:id="rId6" w:tgtFrame="_blank" w:history="1">
        <w:proofErr w:type="gramStart"/>
        <w:r>
          <w:rPr>
            <w:rStyle w:val="Hyperlink"/>
          </w:rPr>
          <w:t>The</w:t>
        </w:r>
        <w:proofErr w:type="gramEnd"/>
        <w:r>
          <w:rPr>
            <w:rStyle w:val="Hyperlink"/>
          </w:rPr>
          <w:t xml:space="preserve"> Spirit Level</w:t>
        </w:r>
      </w:hyperlink>
    </w:p>
    <w:p w:rsidR="0071223C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 xml:space="preserve">On two other totally unrelated projects I have come across the work of Laura Lundy </w:t>
      </w:r>
      <w:r w:rsidR="0071223C">
        <w:rPr>
          <w:rFonts w:ascii="Times New Roman" w:hAnsi="Times New Roman" w:cs="Times New Roman"/>
          <w:sz w:val="24"/>
          <w:szCs w:val="24"/>
        </w:rPr>
        <w:t xml:space="preserve">who works </w:t>
      </w:r>
      <w:r w:rsidRPr="00CC0335">
        <w:rPr>
          <w:rFonts w:ascii="Times New Roman" w:hAnsi="Times New Roman" w:cs="Times New Roman"/>
          <w:sz w:val="24"/>
          <w:szCs w:val="24"/>
        </w:rPr>
        <w:t>at Queens University Belfast</w:t>
      </w:r>
      <w:r w:rsidR="0071223C">
        <w:rPr>
          <w:rFonts w:ascii="Times New Roman" w:hAnsi="Times New Roman" w:cs="Times New Roman"/>
          <w:sz w:val="24"/>
          <w:szCs w:val="24"/>
        </w:rPr>
        <w:t xml:space="preserve">. These ideas were utilized in a recent consultation process in the Greek learning City project in Larissa, Greece. </w:t>
      </w:r>
    </w:p>
    <w:p w:rsidR="00CC0335" w:rsidRDefault="0071223C" w:rsidP="00CC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work </w:t>
      </w:r>
      <w:r w:rsidR="00CC0335" w:rsidRPr="00CC0335">
        <w:rPr>
          <w:rFonts w:ascii="Times New Roman" w:hAnsi="Times New Roman" w:cs="Times New Roman"/>
          <w:sz w:val="24"/>
          <w:szCs w:val="24"/>
        </w:rPr>
        <w:t>includ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C0335" w:rsidRPr="00C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35" w:rsidRPr="00CC0335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CC0335" w:rsidRPr="00CC0335">
        <w:rPr>
          <w:rFonts w:ascii="Times New Roman" w:hAnsi="Times New Roman" w:cs="Times New Roman"/>
          <w:sz w:val="24"/>
          <w:szCs w:val="24"/>
        </w:rPr>
        <w:t xml:space="preserve"> voice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C0335" w:rsidRPr="00CC0335">
        <w:rPr>
          <w:rFonts w:ascii="Times New Roman" w:hAnsi="Times New Roman" w:cs="Times New Roman"/>
          <w:sz w:val="24"/>
          <w:szCs w:val="24"/>
        </w:rPr>
        <w:t xml:space="preserve"> based on implementing the United Nations Convention on the Rights of the Child. </w:t>
      </w:r>
      <w:r>
        <w:rPr>
          <w:rFonts w:ascii="Times New Roman" w:hAnsi="Times New Roman" w:cs="Times New Roman"/>
          <w:sz w:val="24"/>
          <w:szCs w:val="24"/>
        </w:rPr>
        <w:t xml:space="preserve">It is interesting to think through the implications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of a rights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approach to hearing and listing to the voices of children and in adult education we can ‘steal’ two aspects of this approach:</w:t>
      </w:r>
    </w:p>
    <w:p w:rsidR="0071223C" w:rsidRPr="0071223C" w:rsidRDefault="0071223C" w:rsidP="00712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223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1223C">
        <w:rPr>
          <w:rFonts w:ascii="Times New Roman" w:hAnsi="Times New Roman" w:cs="Times New Roman"/>
          <w:sz w:val="24"/>
          <w:szCs w:val="24"/>
        </w:rPr>
        <w:t xml:space="preserve"> idea of a rights based approach to listening to student voice.</w:t>
      </w:r>
    </w:p>
    <w:p w:rsidR="0071223C" w:rsidRPr="0071223C" w:rsidRDefault="0071223C" w:rsidP="00712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interesting possibility of adapting this approach from working with children to working with adults.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>I have borrowed heavily from Lundy’s work for this moment as it seems to have useful ways of looking at a Charter for Adult Voice or at least a framework for moving forward.</w:t>
      </w:r>
    </w:p>
    <w:p w:rsid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>Leah has also mined these ideas</w:t>
      </w:r>
      <w:r w:rsidR="0071223C">
        <w:rPr>
          <w:rFonts w:ascii="Times New Roman" w:hAnsi="Times New Roman" w:cs="Times New Roman"/>
          <w:sz w:val="24"/>
          <w:szCs w:val="24"/>
        </w:rPr>
        <w:t xml:space="preserve"> in her recent paper for the Expert Panel advising AONTAS on its project with SOLAS that is listening to student voice in Ireland’s Adult and Further Education sector. </w:t>
      </w:r>
    </w:p>
    <w:p w:rsidR="00CC0335" w:rsidRPr="0071223C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b/>
          <w:sz w:val="24"/>
          <w:szCs w:val="24"/>
        </w:rPr>
        <w:lastRenderedPageBreak/>
        <w:t>What elements (these or others) should become part of a Charter for Student Voice</w:t>
      </w:r>
      <w:r w:rsidR="0071223C">
        <w:rPr>
          <w:rFonts w:ascii="Times New Roman" w:hAnsi="Times New Roman" w:cs="Times New Roman"/>
          <w:b/>
          <w:sz w:val="24"/>
          <w:szCs w:val="24"/>
        </w:rPr>
        <w:t xml:space="preserve"> – which is the task of this workshop</w:t>
      </w:r>
      <w:proofErr w:type="gramStart"/>
      <w:r w:rsidRPr="00CC0335">
        <w:rPr>
          <w:rFonts w:ascii="Times New Roman" w:hAnsi="Times New Roman" w:cs="Times New Roman"/>
          <w:b/>
          <w:sz w:val="24"/>
          <w:szCs w:val="24"/>
        </w:rPr>
        <w:t>?.....</w:t>
      </w:r>
      <w:proofErr w:type="gramEnd"/>
      <w:r w:rsidRPr="00CC0335">
        <w:rPr>
          <w:rFonts w:ascii="Times New Roman" w:hAnsi="Times New Roman" w:cs="Times New Roman"/>
          <w:b/>
          <w:sz w:val="24"/>
          <w:szCs w:val="24"/>
        </w:rPr>
        <w:t>T</w:t>
      </w:r>
      <w:r w:rsidR="0071223C">
        <w:rPr>
          <w:rFonts w:ascii="Times New Roman" w:hAnsi="Times New Roman" w:cs="Times New Roman"/>
          <w:b/>
          <w:sz w:val="24"/>
          <w:szCs w:val="24"/>
        </w:rPr>
        <w:t>ry this</w:t>
      </w:r>
      <w:r w:rsidRPr="00CC0335">
        <w:rPr>
          <w:rFonts w:ascii="Times New Roman" w:hAnsi="Times New Roman" w:cs="Times New Roman"/>
          <w:b/>
          <w:sz w:val="24"/>
          <w:szCs w:val="24"/>
        </w:rPr>
        <w:t xml:space="preserve"> suggestion</w:t>
      </w:r>
      <w:r w:rsidR="0071223C">
        <w:rPr>
          <w:rFonts w:ascii="Times New Roman" w:hAnsi="Times New Roman" w:cs="Times New Roman"/>
          <w:b/>
          <w:sz w:val="24"/>
          <w:szCs w:val="24"/>
        </w:rPr>
        <w:t xml:space="preserve"> as a framework.</w:t>
      </w:r>
      <w:r w:rsidR="0071223C">
        <w:rPr>
          <w:rFonts w:ascii="Times New Roman" w:hAnsi="Times New Roman" w:cs="Times New Roman"/>
          <w:sz w:val="24"/>
          <w:szCs w:val="24"/>
        </w:rPr>
        <w:t xml:space="preserve"> Though these are borrowed headings they are a good set of concepts on which to begin to flesh out a charter.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223C">
        <w:rPr>
          <w:rFonts w:ascii="Times New Roman" w:hAnsi="Times New Roman" w:cs="Times New Roman"/>
          <w:b/>
          <w:bCs/>
          <w:sz w:val="24"/>
          <w:szCs w:val="24"/>
        </w:rPr>
        <w:t>SPACE</w:t>
      </w:r>
      <w:r w:rsidRPr="00CC03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0335">
        <w:rPr>
          <w:rFonts w:ascii="Times New Roman" w:hAnsi="Times New Roman" w:cs="Times New Roman"/>
          <w:sz w:val="24"/>
          <w:szCs w:val="24"/>
        </w:rPr>
        <w:t>Safe</w:t>
      </w:r>
      <w:proofErr w:type="gramEnd"/>
      <w:r w:rsidRPr="00CC0335">
        <w:rPr>
          <w:rFonts w:ascii="Times New Roman" w:hAnsi="Times New Roman" w:cs="Times New Roman"/>
          <w:sz w:val="24"/>
          <w:szCs w:val="24"/>
        </w:rPr>
        <w:t>, inclusive, space to form and express opinions and needs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  <w:t xml:space="preserve">Where are the safe spaces? How are they created, supported? 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  <w:t xml:space="preserve">Adult educators do it all the time! 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335">
        <w:rPr>
          <w:rFonts w:ascii="Times New Roman" w:hAnsi="Times New Roman" w:cs="Times New Roman"/>
          <w:b/>
          <w:bCs/>
          <w:sz w:val="24"/>
          <w:szCs w:val="24"/>
        </w:rPr>
        <w:t>VOICE</w:t>
      </w:r>
      <w:r w:rsidRPr="00CC03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0335">
        <w:rPr>
          <w:rFonts w:ascii="Times New Roman" w:hAnsi="Times New Roman" w:cs="Times New Roman"/>
          <w:sz w:val="24"/>
          <w:szCs w:val="24"/>
        </w:rPr>
        <w:t>Expression</w:t>
      </w:r>
      <w:proofErr w:type="gramEnd"/>
      <w:r w:rsidRPr="00CC033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C0335">
        <w:rPr>
          <w:rFonts w:ascii="Times New Roman" w:hAnsi="Times New Roman" w:cs="Times New Roman"/>
          <w:sz w:val="24"/>
          <w:szCs w:val="24"/>
        </w:rPr>
        <w:t>Speaking as individuals and in groups.</w:t>
      </w:r>
      <w:proofErr w:type="gramEnd"/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  <w:t>What forms of expression are encouraged….speaking, writing, drawing, painting,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0335"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 w:rsidRPr="00CC0335">
        <w:rPr>
          <w:rFonts w:ascii="Times New Roman" w:hAnsi="Times New Roman" w:cs="Times New Roman"/>
          <w:sz w:val="24"/>
          <w:szCs w:val="24"/>
        </w:rPr>
        <w:t>, etc.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335">
        <w:rPr>
          <w:rFonts w:ascii="Times New Roman" w:hAnsi="Times New Roman" w:cs="Times New Roman"/>
          <w:b/>
          <w:bCs/>
          <w:sz w:val="24"/>
          <w:szCs w:val="24"/>
        </w:rPr>
        <w:t>AUDIENCE</w:t>
      </w:r>
      <w:r w:rsidRPr="00CC0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335">
        <w:rPr>
          <w:rFonts w:ascii="Times New Roman" w:hAnsi="Times New Roman" w:cs="Times New Roman"/>
          <w:sz w:val="24"/>
          <w:szCs w:val="24"/>
        </w:rPr>
        <w:t xml:space="preserve"> Who</w:t>
      </w:r>
      <w:proofErr w:type="gramEnd"/>
      <w:r w:rsidRPr="00CC0335">
        <w:rPr>
          <w:rFonts w:ascii="Times New Roman" w:hAnsi="Times New Roman" w:cs="Times New Roman"/>
          <w:sz w:val="24"/>
          <w:szCs w:val="24"/>
        </w:rPr>
        <w:t xml:space="preserve"> is Listening? What process communicates views?   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  <w:t>Do they have authority to carry the message forward?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  <w:t>Does the listener make decisions?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b/>
          <w:bCs/>
          <w:sz w:val="24"/>
          <w:szCs w:val="24"/>
        </w:rPr>
        <w:t>INFLUENCE</w:t>
      </w:r>
      <w:r w:rsidRPr="00CC0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335">
        <w:rPr>
          <w:rFonts w:ascii="Times New Roman" w:hAnsi="Times New Roman" w:cs="Times New Roman"/>
          <w:sz w:val="24"/>
          <w:szCs w:val="24"/>
        </w:rPr>
        <w:t>Acted on and the response must be resourced and funded.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  <w:t>Were the views considered properly by those in power to reply?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  <w:t>Are there procedures in place to ensure the views have been taken seriously?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  <w:t xml:space="preserve">Is feedback given to show the way the views have been taken into 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0335">
        <w:rPr>
          <w:rFonts w:ascii="Times New Roman" w:hAnsi="Times New Roman" w:cs="Times New Roman"/>
          <w:sz w:val="24"/>
          <w:szCs w:val="24"/>
        </w:rPr>
        <w:t>account</w:t>
      </w:r>
      <w:proofErr w:type="gramEnd"/>
      <w:r w:rsidRPr="00CC0335">
        <w:rPr>
          <w:rFonts w:ascii="Times New Roman" w:hAnsi="Times New Roman" w:cs="Times New Roman"/>
          <w:sz w:val="24"/>
          <w:szCs w:val="24"/>
        </w:rPr>
        <w:t xml:space="preserve"> and give reasons for the decision that are made and show </w:t>
      </w: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0335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CC0335">
        <w:rPr>
          <w:rFonts w:ascii="Times New Roman" w:hAnsi="Times New Roman" w:cs="Times New Roman"/>
          <w:sz w:val="24"/>
          <w:szCs w:val="24"/>
        </w:rPr>
        <w:t xml:space="preserve"> views have been taken into account.</w:t>
      </w:r>
    </w:p>
    <w:p w:rsid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  <w:r w:rsidRPr="00CC0335">
        <w:rPr>
          <w:rFonts w:ascii="Times New Roman" w:hAnsi="Times New Roman" w:cs="Times New Roman"/>
          <w:b/>
          <w:bCs/>
          <w:sz w:val="24"/>
          <w:szCs w:val="24"/>
        </w:rPr>
        <w:t>POWER SHARING</w:t>
      </w:r>
      <w:r w:rsidR="00712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23C">
        <w:rPr>
          <w:rFonts w:ascii="Times New Roman" w:hAnsi="Times New Roman" w:cs="Times New Roman"/>
          <w:bCs/>
          <w:sz w:val="24"/>
          <w:szCs w:val="24"/>
        </w:rPr>
        <w:t xml:space="preserve">These ideas when implemented and thought through amount to a reconstruction of the relationship between the learner and the provider (whether the local Education and Training Board or SOLAS). </w:t>
      </w:r>
    </w:p>
    <w:p w:rsidR="00CC0335" w:rsidRDefault="0071223C" w:rsidP="00C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 I am reminded of Heaney’s poem on ‘Mint’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that grows in the garden neglected:</w:t>
      </w:r>
    </w:p>
    <w:p w:rsidR="00CC0335" w:rsidRPr="00CC0335" w:rsidRDefault="00CC0335" w:rsidP="0071223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0335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Let the smells of mint go heady and defenceless</w:t>
      </w:r>
      <w:r w:rsidRPr="00CC03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C0335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Like</w:t>
      </w:r>
      <w:proofErr w:type="gramEnd"/>
      <w:r w:rsidRPr="00CC0335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inmates liberated in that yard.</w:t>
      </w:r>
      <w:r w:rsidRPr="00CC0335">
        <w:rPr>
          <w:rFonts w:ascii="Times New Roman" w:hAnsi="Times New Roman" w:cs="Times New Roman"/>
          <w:sz w:val="24"/>
          <w:szCs w:val="24"/>
        </w:rPr>
        <w:br/>
      </w:r>
      <w:r w:rsidRPr="00CC0335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Like the disregarded ones we turned against</w:t>
      </w:r>
      <w:r w:rsidRPr="00CC03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C0335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Because</w:t>
      </w:r>
      <w:proofErr w:type="gramEnd"/>
      <w:r w:rsidRPr="00CC0335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we'd failed them by our disregard.</w:t>
      </w:r>
    </w:p>
    <w:p w:rsid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</w:p>
    <w:p w:rsidR="00CC0335" w:rsidRPr="00CC0335" w:rsidRDefault="00CC0335" w:rsidP="00CC0335">
      <w:pPr>
        <w:rPr>
          <w:rFonts w:ascii="Times New Roman" w:hAnsi="Times New Roman" w:cs="Times New Roman"/>
          <w:sz w:val="24"/>
          <w:szCs w:val="24"/>
        </w:rPr>
      </w:pPr>
    </w:p>
    <w:p w:rsidR="00034A19" w:rsidRDefault="008E1265"/>
    <w:sectPr w:rsidR="00034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48E7"/>
    <w:multiLevelType w:val="hybridMultilevel"/>
    <w:tmpl w:val="1AB05588"/>
    <w:lvl w:ilvl="0" w:tplc="7D2EE8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5"/>
    <w:rsid w:val="002E0525"/>
    <w:rsid w:val="0071223C"/>
    <w:rsid w:val="008E1265"/>
    <w:rsid w:val="00CC0335"/>
    <w:rsid w:val="00E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C0335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CC033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C0335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CC033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0374525110/ref=as_li_tl?ie=UTF8&amp;camp=1789&amp;creative=390957&amp;creativeASIN=0374525110&amp;linkCode=as2&amp;tag=tweetpoetr-20&amp;linkId=SXR7LHUOSTG36U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fleming</dc:creator>
  <cp:lastModifiedBy>ted fleming</cp:lastModifiedBy>
  <cp:revision>2</cp:revision>
  <dcterms:created xsi:type="dcterms:W3CDTF">2019-11-22T10:42:00Z</dcterms:created>
  <dcterms:modified xsi:type="dcterms:W3CDTF">2019-11-22T10:42:00Z</dcterms:modified>
</cp:coreProperties>
</file>